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theme/themeOverride10.xml" ContentType="application/vnd.openxmlformats-officedocument.themeOverride+xml"/>
  <Override PartName="/word/charts/colors10.xml" ContentType="application/vnd.ms-office.chartcolorstyle+xml"/>
  <Override PartName="/word/charts/style10.xml" ContentType="application/vnd.ms-office.chartstyle+xml"/>
  <Override PartName="/word/theme/themeOverride20.xml" ContentType="application/vnd.openxmlformats-officedocument.themeOverride+xml"/>
  <Override PartName="/word/charts/colors20.xml" ContentType="application/vnd.ms-office.chartcolorstyle+xml"/>
  <Override PartName="/word/charts/style20.xml" ContentType="application/vnd.ms-office.chartstyle+xml"/>
  <Override PartName="/word/theme/themeOverride30.xml" ContentType="application/vnd.openxmlformats-officedocument.themeOverride+xml"/>
  <Override PartName="/word/charts/colors30.xml" ContentType="application/vnd.ms-office.chartcolorstyle+xml"/>
  <Override PartName="/word/charts/style30.xml" ContentType="application/vnd.ms-office.chartstyle+xml"/>
  <Override PartName="/word/theme/themeOverride40.xml" ContentType="application/vnd.openxmlformats-officedocument.themeOverride+xml"/>
  <Override PartName="/word/charts/colors40.xml" ContentType="application/vnd.ms-office.chartcolorstyle+xml"/>
  <Override PartName="/word/charts/style40.xml" ContentType="application/vnd.ms-office.chartstyle+xml"/>
  <Override PartName="/word/theme/themeOverride50.xml" ContentType="application/vnd.openxmlformats-officedocument.themeOverride+xml"/>
  <Override PartName="/word/charts/colors50.xml" ContentType="application/vnd.ms-office.chartcolorstyle+xml"/>
  <Override PartName="/word/charts/style50.xml" ContentType="application/vnd.ms-office.chartstyle+xml"/>
  <Override PartName="/word/theme/themeOverride60.xml" ContentType="application/vnd.openxmlformats-officedocument.themeOverride+xml"/>
  <Override PartName="/word/charts/colors60.xml" ContentType="application/vnd.ms-office.chartcolorstyle+xml"/>
  <Override PartName="/word/charts/style6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v:background id="_x0000_s1025" o:bwmode="white" fillcolor="#f2f2f2 [3052]">
      <v:fill r:id="rId4" o:title="5%" type="pattern"/>
    </v:background>
  </w:background>
  <w:body>
    <w:p w14:paraId="4CAC3DE6" w14:textId="77777777" w:rsidR="00720190" w:rsidRPr="00E84183" w:rsidRDefault="00720190" w:rsidP="00AB69E4">
      <w:pPr>
        <w:pStyle w:val="NoSpacing1"/>
        <w:spacing w:line="276" w:lineRule="auto"/>
        <w:jc w:val="center"/>
        <w:rPr>
          <w:rFonts w:ascii="Bookman Old Style" w:hAnsi="Bookman Old Style"/>
        </w:rPr>
      </w:pPr>
      <w:r w:rsidRPr="00E84183">
        <w:rPr>
          <w:rFonts w:ascii="Bookman Old Style" w:hAnsi="Bookman Old Style"/>
          <w:noProof/>
        </w:rPr>
        <w:drawing>
          <wp:anchor distT="0" distB="0" distL="114300" distR="114300" simplePos="0" relativeHeight="251660288" behindDoc="0" locked="0" layoutInCell="1" allowOverlap="1" wp14:anchorId="526F88FB" wp14:editId="1BE6F115">
            <wp:simplePos x="0" y="0"/>
            <wp:positionH relativeFrom="margin">
              <wp:posOffset>2278380</wp:posOffset>
            </wp:positionH>
            <wp:positionV relativeFrom="margin">
              <wp:posOffset>-304800</wp:posOffset>
            </wp:positionV>
            <wp:extent cx="1352550" cy="1352550"/>
            <wp:effectExtent l="0" t="0" r="0" b="0"/>
            <wp:wrapSquare wrapText="bothSides"/>
            <wp:docPr id="8" name="Picture 8" descr="D:\DOOSIERS DE PATRICK\NEW  BN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OSIERS DE PATRICK\NEW  BNR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F9094" w14:textId="77777777" w:rsidR="00720190" w:rsidRPr="00E84183" w:rsidRDefault="00720190" w:rsidP="00AB69E4">
      <w:pPr>
        <w:spacing w:after="0" w:line="276" w:lineRule="auto"/>
        <w:rPr>
          <w:rFonts w:ascii="Bookman Old Style" w:hAnsi="Bookman Old Style"/>
          <w:color w:val="FFC000"/>
        </w:rPr>
      </w:pPr>
    </w:p>
    <w:p w14:paraId="63EA2015" w14:textId="77777777" w:rsidR="00720190" w:rsidRPr="00E84183" w:rsidRDefault="00720190" w:rsidP="00AB69E4">
      <w:pPr>
        <w:spacing w:after="0" w:line="276" w:lineRule="auto"/>
        <w:rPr>
          <w:rFonts w:ascii="Bookman Old Style" w:hAnsi="Bookman Old Style"/>
          <w:color w:val="FFC000"/>
        </w:rPr>
      </w:pPr>
    </w:p>
    <w:p w14:paraId="27DDA6D0" w14:textId="77777777" w:rsidR="00720190" w:rsidRPr="00E84183" w:rsidRDefault="00720190" w:rsidP="00AB69E4">
      <w:pPr>
        <w:spacing w:after="0" w:line="276" w:lineRule="auto"/>
        <w:rPr>
          <w:rFonts w:ascii="Bookman Old Style" w:hAnsi="Bookman Old Style"/>
        </w:rPr>
      </w:pPr>
    </w:p>
    <w:p w14:paraId="7D554397" w14:textId="77777777" w:rsidR="00720190" w:rsidRPr="00E84183" w:rsidRDefault="00720190" w:rsidP="00AB69E4">
      <w:pPr>
        <w:spacing w:after="0" w:line="276" w:lineRule="auto"/>
        <w:rPr>
          <w:rFonts w:ascii="Bookman Old Style" w:hAnsi="Bookman Old Style"/>
        </w:rPr>
      </w:pPr>
      <w:r w:rsidRPr="00E84183">
        <w:rPr>
          <w:rFonts w:ascii="Bookman Old Style" w:hAnsi="Bookman Old Style"/>
        </w:rPr>
        <w:t xml:space="preserve"> </w:t>
      </w:r>
    </w:p>
    <w:p w14:paraId="4B0EE361" w14:textId="77777777" w:rsidR="00720190" w:rsidRPr="00E84183" w:rsidRDefault="00960DB3" w:rsidP="00AB69E4">
      <w:pPr>
        <w:spacing w:after="0" w:line="276" w:lineRule="auto"/>
        <w:rPr>
          <w:rFonts w:ascii="Bookman Old Style" w:hAnsi="Bookman Old Style"/>
        </w:rPr>
      </w:pPr>
      <w:r w:rsidRPr="00E84183">
        <w:rPr>
          <w:rFonts w:ascii="Bookman Old Style" w:hAnsi="Bookman Old Style"/>
          <w:noProof/>
          <w:color w:val="FFC000"/>
        </w:rPr>
        <mc:AlternateContent>
          <mc:Choice Requires="wps">
            <w:drawing>
              <wp:anchor distT="0" distB="0" distL="114300" distR="114300" simplePos="0" relativeHeight="251661312" behindDoc="0" locked="0" layoutInCell="1" allowOverlap="1" wp14:anchorId="05BB7BB0" wp14:editId="0484C63D">
                <wp:simplePos x="0" y="0"/>
                <wp:positionH relativeFrom="column">
                  <wp:posOffset>571500</wp:posOffset>
                </wp:positionH>
                <wp:positionV relativeFrom="paragraph">
                  <wp:posOffset>171449</wp:posOffset>
                </wp:positionV>
                <wp:extent cx="5267325" cy="1114425"/>
                <wp:effectExtent l="0" t="0" r="952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67325" cy="11144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F23C3C9" w14:textId="77777777" w:rsidR="00C11618" w:rsidRPr="00BC4321" w:rsidRDefault="00C11618" w:rsidP="001C54A4">
                            <w:pPr>
                              <w:pStyle w:val="NormalWeb"/>
                              <w:spacing w:before="120" w:after="120" w:line="360" w:lineRule="auto"/>
                              <w:jc w:val="center"/>
                              <w:rPr>
                                <w:rFonts w:ascii="BentonSans Bold" w:hAnsi="BentonSans Bold"/>
                                <w:b/>
                                <w:color w:val="2E74B5" w:themeColor="accent5" w:themeShade="BF"/>
                                <w:sz w:val="22"/>
                                <w:szCs w:val="22"/>
                              </w:rPr>
                            </w:pPr>
                            <w:r w:rsidRPr="00BC4321">
                              <w:rPr>
                                <w:rFonts w:ascii="BentonSans Bold" w:hAnsi="BentonSans Bold"/>
                                <w:b/>
                                <w:color w:val="2E74B5" w:themeColor="accent5" w:themeShade="BF"/>
                                <w:sz w:val="22"/>
                                <w:szCs w:val="22"/>
                              </w:rPr>
                              <w:t>NATIONAL BANK OF RWANDA</w:t>
                            </w:r>
                          </w:p>
                          <w:p w14:paraId="6A1AA3A6" w14:textId="77777777" w:rsidR="00C11618" w:rsidRPr="00BC4321" w:rsidRDefault="00C11618" w:rsidP="001C54A4">
                            <w:pPr>
                              <w:pStyle w:val="NormalWeb"/>
                              <w:spacing w:before="120" w:after="120" w:line="360" w:lineRule="auto"/>
                              <w:jc w:val="center"/>
                              <w:rPr>
                                <w:rFonts w:ascii="BentonSans Bold" w:hAnsi="BentonSans Bold"/>
                                <w:b/>
                                <w:color w:val="2E74B5" w:themeColor="accent5" w:themeShade="BF"/>
                                <w:sz w:val="22"/>
                                <w:szCs w:val="22"/>
                              </w:rPr>
                            </w:pPr>
                            <w:r w:rsidRPr="00BC4321">
                              <w:rPr>
                                <w:rFonts w:ascii="BentonSans Bold" w:hAnsi="BentonSans Bold"/>
                                <w:b/>
                                <w:color w:val="2E74B5" w:themeColor="accent5" w:themeShade="BF"/>
                                <w:sz w:val="22"/>
                                <w:szCs w:val="22"/>
                              </w:rPr>
                              <w:t>BANKI NKURU Y’U RWANDA</w:t>
                            </w:r>
                          </w:p>
                          <w:p w14:paraId="1B0508E6" w14:textId="77777777" w:rsidR="00D24940" w:rsidRDefault="00D24940" w:rsidP="001C54A4">
                            <w:pPr>
                              <w:pStyle w:val="NormalWeb"/>
                              <w:spacing w:before="120" w:after="120" w:line="360" w:lineRule="auto"/>
                              <w:jc w:val="center"/>
                              <w:rPr>
                                <w:rFonts w:ascii="BentonSans Book" w:hAnsi="BentonSans Book"/>
                                <w:b/>
                                <w:color w:val="0070C0"/>
                                <w:sz w:val="40"/>
                                <w:szCs w:val="22"/>
                              </w:rPr>
                            </w:pPr>
                          </w:p>
                          <w:p w14:paraId="2B33211E" w14:textId="77777777" w:rsidR="00D24940" w:rsidRDefault="00D24940" w:rsidP="001C54A4">
                            <w:pPr>
                              <w:pStyle w:val="NormalWeb"/>
                              <w:spacing w:before="120" w:after="120" w:line="360" w:lineRule="auto"/>
                              <w:jc w:val="center"/>
                              <w:rPr>
                                <w:rFonts w:ascii="BentonSans Book" w:hAnsi="BentonSans Book"/>
                                <w:b/>
                                <w:color w:val="0070C0"/>
                                <w:sz w:val="40"/>
                                <w:szCs w:val="22"/>
                              </w:rPr>
                            </w:pPr>
                          </w:p>
                          <w:p w14:paraId="638A5343" w14:textId="77777777" w:rsidR="00D24940" w:rsidRPr="00D24940" w:rsidRDefault="00D24940" w:rsidP="001C54A4">
                            <w:pPr>
                              <w:pStyle w:val="NormalWeb"/>
                              <w:spacing w:before="120" w:after="120" w:line="360" w:lineRule="auto"/>
                              <w:jc w:val="center"/>
                              <w:rPr>
                                <w:rFonts w:ascii="BentonSans Book" w:hAnsi="BentonSans Book"/>
                                <w:b/>
                                <w:color w:val="0070C0"/>
                                <w:sz w:val="38"/>
                                <w:szCs w:val="22"/>
                              </w:rPr>
                            </w:pPr>
                          </w:p>
                          <w:p w14:paraId="4CA92999" w14:textId="77777777" w:rsidR="00C11618" w:rsidRPr="008034D1" w:rsidRDefault="00C11618" w:rsidP="00720190"/>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5BB7BB0" id="_x0000_t202" coordsize="21600,21600" o:spt="202" path="m,l,21600r21600,l21600,xe">
                <v:stroke joinstyle="miter"/>
                <v:path gradientshapeok="t" o:connecttype="rect"/>
              </v:shapetype>
              <v:shape id="Text Box 7" o:spid="_x0000_s1026" type="#_x0000_t202" style="position:absolute;margin-left:45pt;margin-top:13.5pt;width:414.7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" stroked="f" strokeweight=".5pt">
                <v:path arrowok="t"/>
                <v:textbox>
                  <w:txbxContent>
                    <w:p w14:paraId="0F23C3C9" w14:textId="77777777" w:rsidR="00C11618" w:rsidRPr="00BC4321" w:rsidRDefault="00C11618" w:rsidP="001C54A4">
                      <w:pPr>
                        <w:pStyle w:val="NormalWeb"/>
                        <w:spacing w:before="120" w:after="120" w:line="360" w:lineRule="auto"/>
                        <w:jc w:val="center"/>
                        <w:rPr>
                          <w:rFonts w:ascii="BentonSans Bold" w:hAnsi="BentonSans Bold"/>
                          <w:b/>
                          <w:color w:val="2E74B5" w:themeColor="accent5" w:themeShade="BF"/>
                          <w:sz w:val="22"/>
                          <w:szCs w:val="22"/>
                        </w:rPr>
                      </w:pPr>
                      <w:r w:rsidRPr="00BC4321">
                        <w:rPr>
                          <w:rFonts w:ascii="BentonSans Bold" w:hAnsi="BentonSans Bold"/>
                          <w:b/>
                          <w:color w:val="2E74B5" w:themeColor="accent5" w:themeShade="BF"/>
                          <w:sz w:val="22"/>
                          <w:szCs w:val="22"/>
                        </w:rPr>
                        <w:t>NATIONAL BANK OF RWANDA</w:t>
                      </w:r>
                    </w:p>
                    <w:p w14:paraId="6A1AA3A6" w14:textId="77777777" w:rsidR="00C11618" w:rsidRPr="00BC4321" w:rsidRDefault="00C11618" w:rsidP="001C54A4">
                      <w:pPr>
                        <w:pStyle w:val="NormalWeb"/>
                        <w:spacing w:before="120" w:after="120" w:line="360" w:lineRule="auto"/>
                        <w:jc w:val="center"/>
                        <w:rPr>
                          <w:rFonts w:ascii="BentonSans Bold" w:hAnsi="BentonSans Bold"/>
                          <w:b/>
                          <w:color w:val="2E74B5" w:themeColor="accent5" w:themeShade="BF"/>
                          <w:sz w:val="22"/>
                          <w:szCs w:val="22"/>
                        </w:rPr>
                      </w:pPr>
                      <w:r w:rsidRPr="00BC4321">
                        <w:rPr>
                          <w:rFonts w:ascii="BentonSans Bold" w:hAnsi="BentonSans Bold"/>
                          <w:b/>
                          <w:color w:val="2E74B5" w:themeColor="accent5" w:themeShade="BF"/>
                          <w:sz w:val="22"/>
                          <w:szCs w:val="22"/>
                        </w:rPr>
                        <w:t>BANKI NKURU Y’U RWANDA</w:t>
                      </w:r>
                    </w:p>
                    <w:p w14:paraId="1B0508E6" w14:textId="77777777" w:rsidR="00D24940" w:rsidRDefault="00D24940" w:rsidP="001C54A4">
                      <w:pPr>
                        <w:pStyle w:val="NormalWeb"/>
                        <w:spacing w:before="120" w:after="120" w:line="360" w:lineRule="auto"/>
                        <w:jc w:val="center"/>
                        <w:rPr>
                          <w:rFonts w:ascii="BentonSans Book" w:hAnsi="BentonSans Book"/>
                          <w:b/>
                          <w:color w:val="0070C0"/>
                          <w:sz w:val="40"/>
                          <w:szCs w:val="22"/>
                        </w:rPr>
                      </w:pPr>
                    </w:p>
                    <w:p w14:paraId="2B33211E" w14:textId="77777777" w:rsidR="00D24940" w:rsidRDefault="00D24940" w:rsidP="001C54A4">
                      <w:pPr>
                        <w:pStyle w:val="NormalWeb"/>
                        <w:spacing w:before="120" w:after="120" w:line="360" w:lineRule="auto"/>
                        <w:jc w:val="center"/>
                        <w:rPr>
                          <w:rFonts w:ascii="BentonSans Book" w:hAnsi="BentonSans Book"/>
                          <w:b/>
                          <w:color w:val="0070C0"/>
                          <w:sz w:val="40"/>
                          <w:szCs w:val="22"/>
                        </w:rPr>
                      </w:pPr>
                    </w:p>
                    <w:p w14:paraId="638A5343" w14:textId="77777777" w:rsidR="00D24940" w:rsidRPr="00D24940" w:rsidRDefault="00D24940" w:rsidP="001C54A4">
                      <w:pPr>
                        <w:pStyle w:val="NormalWeb"/>
                        <w:spacing w:before="120" w:after="120" w:line="360" w:lineRule="auto"/>
                        <w:jc w:val="center"/>
                        <w:rPr>
                          <w:rFonts w:ascii="BentonSans Book" w:hAnsi="BentonSans Book"/>
                          <w:b/>
                          <w:color w:val="0070C0"/>
                          <w:sz w:val="38"/>
                          <w:szCs w:val="22"/>
                        </w:rPr>
                      </w:pPr>
                    </w:p>
                    <w:p w14:paraId="4CA92999" w14:textId="77777777" w:rsidR="00C11618" w:rsidRPr="008034D1" w:rsidRDefault="00C11618" w:rsidP="00720190"/>
                  </w:txbxContent>
                </v:textbox>
              </v:shape>
            </w:pict>
          </mc:Fallback>
        </mc:AlternateContent>
      </w:r>
    </w:p>
    <w:p w14:paraId="1535CCE5" w14:textId="77777777" w:rsidR="00720190" w:rsidRPr="00E84183" w:rsidRDefault="00720190" w:rsidP="00AB69E4">
      <w:pPr>
        <w:spacing w:after="0" w:line="276" w:lineRule="auto"/>
        <w:rPr>
          <w:rFonts w:ascii="Bookman Old Style" w:hAnsi="Bookman Old Style"/>
        </w:rPr>
      </w:pPr>
    </w:p>
    <w:p w14:paraId="4C0219B3" w14:textId="77777777" w:rsidR="00891E5E" w:rsidRPr="00E84183" w:rsidRDefault="00891E5E" w:rsidP="00AB69E4">
      <w:pPr>
        <w:spacing w:after="0" w:line="276" w:lineRule="auto"/>
        <w:rPr>
          <w:rFonts w:ascii="Bookman Old Style" w:hAnsi="Bookman Old Style"/>
          <w:b/>
        </w:rPr>
      </w:pPr>
    </w:p>
    <w:p w14:paraId="07A0BDD3" w14:textId="77777777" w:rsidR="00891E5E" w:rsidRPr="00E84183" w:rsidRDefault="00891E5E" w:rsidP="00AB69E4">
      <w:pPr>
        <w:spacing w:after="0" w:line="276" w:lineRule="auto"/>
        <w:rPr>
          <w:rFonts w:ascii="Bookman Old Style" w:hAnsi="Bookman Old Style"/>
          <w:b/>
        </w:rPr>
      </w:pPr>
    </w:p>
    <w:p w14:paraId="3C9EFA4E" w14:textId="77777777" w:rsidR="00E84183" w:rsidRDefault="00E84183" w:rsidP="00AB69E4">
      <w:pPr>
        <w:spacing w:after="0" w:line="276" w:lineRule="auto"/>
        <w:jc w:val="center"/>
        <w:rPr>
          <w:rFonts w:ascii="Bookman Old Style" w:hAnsi="Bookman Old Style"/>
          <w:b/>
          <w:color w:val="0070C0"/>
        </w:rPr>
      </w:pPr>
    </w:p>
    <w:p w14:paraId="39F55415" w14:textId="77777777" w:rsidR="00E84183" w:rsidRDefault="00E84183" w:rsidP="00AB69E4">
      <w:pPr>
        <w:spacing w:after="0" w:line="276" w:lineRule="auto"/>
        <w:jc w:val="center"/>
        <w:rPr>
          <w:rFonts w:ascii="Bookman Old Style" w:hAnsi="Bookman Old Style"/>
          <w:b/>
          <w:color w:val="0070C0"/>
        </w:rPr>
      </w:pPr>
    </w:p>
    <w:p w14:paraId="13A789FD" w14:textId="77777777" w:rsidR="00E84183" w:rsidRDefault="001C4946" w:rsidP="00AB69E4">
      <w:pPr>
        <w:spacing w:after="0" w:line="276" w:lineRule="auto"/>
        <w:jc w:val="center"/>
        <w:rPr>
          <w:rFonts w:ascii="Bookman Old Style" w:hAnsi="Bookman Old Style"/>
          <w:b/>
          <w:color w:val="0070C0"/>
        </w:rPr>
      </w:pPr>
      <w:r w:rsidRPr="00E84183">
        <w:rPr>
          <w:rFonts w:ascii="Bookman Old Style" w:hAnsi="Bookman Old Style"/>
          <w:noProof/>
        </w:rPr>
        <mc:AlternateContent>
          <mc:Choice Requires="wps">
            <w:drawing>
              <wp:anchor distT="0" distB="0" distL="114300" distR="114300" simplePos="0" relativeHeight="251662336" behindDoc="0" locked="0" layoutInCell="1" allowOverlap="1" wp14:anchorId="74B5C795" wp14:editId="7CB68C85">
                <wp:simplePos x="0" y="0"/>
                <wp:positionH relativeFrom="page">
                  <wp:posOffset>342900</wp:posOffset>
                </wp:positionH>
                <wp:positionV relativeFrom="margin">
                  <wp:posOffset>2276475</wp:posOffset>
                </wp:positionV>
                <wp:extent cx="7086600" cy="1733550"/>
                <wp:effectExtent l="0" t="0" r="19050"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86600" cy="1733550"/>
                        </a:xfrm>
                        <a:prstGeom prst="rect">
                          <a:avLst/>
                        </a:prstGeom>
                        <a:solidFill>
                          <a:srgbClr val="FEBB00"/>
                        </a:solidFill>
                        <a:ln w="6350">
                          <a:solidFill>
                            <a:sysClr val="window" lastClr="FFFFFF">
                              <a:lumMod val="100000"/>
                              <a:lumOff val="0"/>
                            </a:sysClr>
                          </a:solidFill>
                          <a:miter lim="800000"/>
                          <a:headEnd/>
                          <a:tailEnd/>
                        </a:ln>
                      </wps:spPr>
                      <wps:txbx>
                        <w:txbxContent>
                          <w:p w14:paraId="74CD3999" w14:textId="77777777" w:rsidR="00C11618" w:rsidRDefault="00C11618" w:rsidP="00C662E7">
                            <w:pPr>
                              <w:pStyle w:val="NoSpacing1"/>
                              <w:shd w:val="clear" w:color="auto" w:fill="CC9900"/>
                              <w:jc w:val="center"/>
                              <w:rPr>
                                <w:rFonts w:ascii="Bookman Old Style" w:hAnsi="Bookman Old Style" w:cs="Calibri"/>
                                <w:b/>
                                <w:color w:val="002060"/>
                                <w:sz w:val="36"/>
                                <w:szCs w:val="36"/>
                              </w:rPr>
                            </w:pPr>
                          </w:p>
                          <w:p w14:paraId="002795D3" w14:textId="77777777" w:rsidR="00D24940" w:rsidRPr="00BC4321" w:rsidRDefault="00384385" w:rsidP="00D24940">
                            <w:pPr>
                              <w:pStyle w:val="NormalWeb"/>
                              <w:spacing w:before="120" w:after="120" w:line="360" w:lineRule="auto"/>
                              <w:jc w:val="center"/>
                              <w:rPr>
                                <w:rFonts w:ascii="BentonSans Bold" w:hAnsi="BentonSans Bold"/>
                                <w:b/>
                                <w:sz w:val="22"/>
                                <w:szCs w:val="22"/>
                              </w:rPr>
                            </w:pPr>
                            <w:r w:rsidRPr="00BC4321">
                              <w:rPr>
                                <w:rFonts w:ascii="BentonSans Bold" w:hAnsi="BentonSans Bold"/>
                                <w:b/>
                                <w:sz w:val="22"/>
                                <w:szCs w:val="22"/>
                              </w:rPr>
                              <w:t>QUARTERLY CREDIT SURVEY REPORT</w:t>
                            </w:r>
                          </w:p>
                          <w:p w14:paraId="09AB8138" w14:textId="3DCAB221" w:rsidR="00384385" w:rsidRPr="00BC4321" w:rsidRDefault="00384385" w:rsidP="00D24940">
                            <w:pPr>
                              <w:pStyle w:val="NormalWeb"/>
                              <w:spacing w:before="120" w:after="120" w:line="360" w:lineRule="auto"/>
                              <w:jc w:val="center"/>
                              <w:rPr>
                                <w:rFonts w:ascii="BentonSans Bold" w:hAnsi="BentonSans Bold"/>
                                <w:b/>
                                <w:sz w:val="22"/>
                                <w:szCs w:val="22"/>
                              </w:rPr>
                            </w:pPr>
                            <w:r w:rsidRPr="00BC4321">
                              <w:rPr>
                                <w:rFonts w:ascii="BentonSans Bold" w:hAnsi="BentonSans Bold"/>
                                <w:b/>
                                <w:sz w:val="22"/>
                                <w:szCs w:val="22"/>
                              </w:rPr>
                              <w:t xml:space="preserve">QUARTER </w:t>
                            </w:r>
                            <w:r w:rsidR="00131F12" w:rsidRPr="00BC4321">
                              <w:rPr>
                                <w:rFonts w:ascii="BentonSans Bold" w:hAnsi="BentonSans Bold"/>
                                <w:b/>
                                <w:sz w:val="22"/>
                                <w:szCs w:val="22"/>
                              </w:rPr>
                              <w:t>ONE 2019</w:t>
                            </w:r>
                          </w:p>
                          <w:p w14:paraId="1388F25A" w14:textId="77777777" w:rsidR="00384385" w:rsidRPr="002A006E" w:rsidRDefault="00384385" w:rsidP="002A006E">
                            <w:pPr>
                              <w:pStyle w:val="NormalWeb"/>
                              <w:spacing w:before="120" w:after="120" w:line="360" w:lineRule="auto"/>
                              <w:jc w:val="center"/>
                              <w:rPr>
                                <w:rFonts w:ascii="BentonSans Book" w:hAnsi="BentonSans Book"/>
                                <w:b/>
                                <w:color w:val="0070C0"/>
                                <w:sz w:val="32"/>
                                <w:szCs w:val="22"/>
                              </w:rPr>
                            </w:pPr>
                          </w:p>
                          <w:p w14:paraId="07C6209C" w14:textId="77777777" w:rsidR="00C11618" w:rsidRPr="008034D1" w:rsidRDefault="00C11618" w:rsidP="00C662E7">
                            <w:pPr>
                              <w:shd w:val="clear" w:color="auto" w:fill="CC9900"/>
                              <w:spacing w:after="0" w:line="240" w:lineRule="auto"/>
                              <w:jc w:val="center"/>
                              <w:rPr>
                                <w:rFonts w:ascii="Bookman Old Style" w:hAnsi="Bookman Old Style"/>
                                <w:b/>
                                <w:sz w:val="36"/>
                                <w:szCs w:val="36"/>
                              </w:rPr>
                            </w:pPr>
                          </w:p>
                          <w:p w14:paraId="56DDB48F" w14:textId="77777777" w:rsidR="00C11618" w:rsidRPr="005A538A" w:rsidRDefault="00C11618" w:rsidP="00C662E7">
                            <w:pPr>
                              <w:shd w:val="clear" w:color="auto" w:fill="CC9900"/>
                              <w:spacing w:after="0" w:line="240" w:lineRule="auto"/>
                              <w:jc w:val="center"/>
                              <w:rPr>
                                <w:rFonts w:ascii="Bookman Old Style" w:hAnsi="Bookman Old Style"/>
                                <w:b/>
                                <w:color w:val="002060"/>
                                <w:sz w:val="36"/>
                                <w:szCs w:val="36"/>
                              </w:rPr>
                            </w:pPr>
                          </w:p>
                          <w:p w14:paraId="1264B6C5" w14:textId="77777777" w:rsidR="00C11618" w:rsidRPr="00720190" w:rsidRDefault="00C11618" w:rsidP="00720190">
                            <w:pPr>
                              <w:pStyle w:val="NoSpacing1"/>
                              <w:shd w:val="clear" w:color="auto" w:fill="CC9900"/>
                              <w:jc w:val="center"/>
                              <w:rPr>
                                <w:rFonts w:cs="Calibri"/>
                                <w:b/>
                                <w:color w:val="002060"/>
                                <w:sz w:val="48"/>
                                <w:szCs w:val="48"/>
                              </w:rPr>
                            </w:pPr>
                          </w:p>
                          <w:p w14:paraId="3CC45312" w14:textId="77777777" w:rsidR="00C11618" w:rsidRPr="00FB543C" w:rsidRDefault="00C11618" w:rsidP="00720190">
                            <w:pPr>
                              <w:pStyle w:val="NoSpacing1"/>
                              <w:shd w:val="clear" w:color="auto" w:fill="CC9900"/>
                              <w:jc w:val="center"/>
                              <w:rPr>
                                <w:rFonts w:cs="Calibri"/>
                                <w:b/>
                                <w:color w:val="FFFFFF"/>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5C795" id="Text Box 4" o:spid="_x0000_s1027" type="#_x0000_t202" style="position:absolute;left:0;text-align:left;margin-left:27pt;margin-top:179.25pt;width:558pt;height:13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" fillcolor="#febb00" strokecolor="white" strokeweight=".5pt">
                <v:path arrowok="t"/>
                <v:textbox>
                  <w:txbxContent>
                    <w:p w14:paraId="74CD3999" w14:textId="77777777" w:rsidR="00C11618" w:rsidRDefault="00C11618" w:rsidP="00C662E7">
                      <w:pPr>
                        <w:pStyle w:val="NoSpacing1"/>
                        <w:shd w:val="clear" w:color="auto" w:fill="CC9900"/>
                        <w:jc w:val="center"/>
                        <w:rPr>
                          <w:rFonts w:ascii="Bookman Old Style" w:hAnsi="Bookman Old Style" w:cs="Calibri"/>
                          <w:b/>
                          <w:color w:val="002060"/>
                          <w:sz w:val="36"/>
                          <w:szCs w:val="36"/>
                        </w:rPr>
                      </w:pPr>
                    </w:p>
                    <w:p w14:paraId="002795D3" w14:textId="77777777" w:rsidR="00D24940" w:rsidRPr="00BC4321" w:rsidRDefault="00384385" w:rsidP="00D24940">
                      <w:pPr>
                        <w:pStyle w:val="NormalWeb"/>
                        <w:spacing w:before="120" w:after="120" w:line="360" w:lineRule="auto"/>
                        <w:jc w:val="center"/>
                        <w:rPr>
                          <w:rFonts w:ascii="BentonSans Bold" w:hAnsi="BentonSans Bold"/>
                          <w:b/>
                          <w:sz w:val="22"/>
                          <w:szCs w:val="22"/>
                        </w:rPr>
                      </w:pPr>
                      <w:r w:rsidRPr="00BC4321">
                        <w:rPr>
                          <w:rFonts w:ascii="BentonSans Bold" w:hAnsi="BentonSans Bold"/>
                          <w:b/>
                          <w:sz w:val="22"/>
                          <w:szCs w:val="22"/>
                        </w:rPr>
                        <w:t>QUARTERLY CREDIT SURVEY REPORT</w:t>
                      </w:r>
                    </w:p>
                    <w:p w14:paraId="09AB8138" w14:textId="3DCAB221" w:rsidR="00384385" w:rsidRPr="00BC4321" w:rsidRDefault="00384385" w:rsidP="00D24940">
                      <w:pPr>
                        <w:pStyle w:val="NormalWeb"/>
                        <w:spacing w:before="120" w:after="120" w:line="360" w:lineRule="auto"/>
                        <w:jc w:val="center"/>
                        <w:rPr>
                          <w:rFonts w:ascii="BentonSans Bold" w:hAnsi="BentonSans Bold"/>
                          <w:b/>
                          <w:sz w:val="22"/>
                          <w:szCs w:val="22"/>
                        </w:rPr>
                      </w:pPr>
                      <w:r w:rsidRPr="00BC4321">
                        <w:rPr>
                          <w:rFonts w:ascii="BentonSans Bold" w:hAnsi="BentonSans Bold"/>
                          <w:b/>
                          <w:sz w:val="22"/>
                          <w:szCs w:val="22"/>
                        </w:rPr>
                        <w:t xml:space="preserve">QUARTER </w:t>
                      </w:r>
                      <w:r w:rsidR="00131F12" w:rsidRPr="00BC4321">
                        <w:rPr>
                          <w:rFonts w:ascii="BentonSans Bold" w:hAnsi="BentonSans Bold"/>
                          <w:b/>
                          <w:sz w:val="22"/>
                          <w:szCs w:val="22"/>
                        </w:rPr>
                        <w:t>ONE 2019</w:t>
                      </w:r>
                    </w:p>
                    <w:p w14:paraId="1388F25A" w14:textId="77777777" w:rsidR="00384385" w:rsidRPr="002A006E" w:rsidRDefault="00384385" w:rsidP="002A006E">
                      <w:pPr>
                        <w:pStyle w:val="NormalWeb"/>
                        <w:spacing w:before="120" w:after="120" w:line="360" w:lineRule="auto"/>
                        <w:jc w:val="center"/>
                        <w:rPr>
                          <w:rFonts w:ascii="BentonSans Book" w:hAnsi="BentonSans Book"/>
                          <w:b/>
                          <w:color w:val="0070C0"/>
                          <w:sz w:val="32"/>
                          <w:szCs w:val="22"/>
                        </w:rPr>
                      </w:pPr>
                    </w:p>
                    <w:p w14:paraId="07C6209C" w14:textId="77777777" w:rsidR="00C11618" w:rsidRPr="008034D1" w:rsidRDefault="00C11618" w:rsidP="00C662E7">
                      <w:pPr>
                        <w:shd w:val="clear" w:color="auto" w:fill="CC9900"/>
                        <w:spacing w:after="0" w:line="240" w:lineRule="auto"/>
                        <w:jc w:val="center"/>
                        <w:rPr>
                          <w:rFonts w:ascii="Bookman Old Style" w:hAnsi="Bookman Old Style"/>
                          <w:b/>
                          <w:sz w:val="36"/>
                          <w:szCs w:val="36"/>
                        </w:rPr>
                      </w:pPr>
                    </w:p>
                    <w:p w14:paraId="56DDB48F" w14:textId="77777777" w:rsidR="00C11618" w:rsidRPr="005A538A" w:rsidRDefault="00C11618" w:rsidP="00C662E7">
                      <w:pPr>
                        <w:shd w:val="clear" w:color="auto" w:fill="CC9900"/>
                        <w:spacing w:after="0" w:line="240" w:lineRule="auto"/>
                        <w:jc w:val="center"/>
                        <w:rPr>
                          <w:rFonts w:ascii="Bookman Old Style" w:hAnsi="Bookman Old Style"/>
                          <w:b/>
                          <w:color w:val="002060"/>
                          <w:sz w:val="36"/>
                          <w:szCs w:val="36"/>
                        </w:rPr>
                      </w:pPr>
                    </w:p>
                    <w:p w14:paraId="1264B6C5" w14:textId="77777777" w:rsidR="00C11618" w:rsidRPr="00720190" w:rsidRDefault="00C11618" w:rsidP="00720190">
                      <w:pPr>
                        <w:pStyle w:val="NoSpacing1"/>
                        <w:shd w:val="clear" w:color="auto" w:fill="CC9900"/>
                        <w:jc w:val="center"/>
                        <w:rPr>
                          <w:rFonts w:cs="Calibri"/>
                          <w:b/>
                          <w:color w:val="002060"/>
                          <w:sz w:val="48"/>
                          <w:szCs w:val="48"/>
                        </w:rPr>
                      </w:pPr>
                    </w:p>
                    <w:p w14:paraId="3CC45312" w14:textId="77777777" w:rsidR="00C11618" w:rsidRPr="00FB543C" w:rsidRDefault="00C11618" w:rsidP="00720190">
                      <w:pPr>
                        <w:pStyle w:val="NoSpacing1"/>
                        <w:shd w:val="clear" w:color="auto" w:fill="CC9900"/>
                        <w:jc w:val="center"/>
                        <w:rPr>
                          <w:rFonts w:cs="Calibri"/>
                          <w:b/>
                          <w:color w:val="FFFFFF"/>
                          <w:sz w:val="52"/>
                          <w:szCs w:val="52"/>
                        </w:rPr>
                      </w:pPr>
                    </w:p>
                  </w:txbxContent>
                </v:textbox>
                <w10:wrap type="square" anchorx="page" anchory="margin"/>
              </v:shape>
            </w:pict>
          </mc:Fallback>
        </mc:AlternateContent>
      </w:r>
    </w:p>
    <w:p w14:paraId="1D657904" w14:textId="77777777" w:rsidR="00E35D50" w:rsidRDefault="00E35D50" w:rsidP="00AB69E4">
      <w:pPr>
        <w:spacing w:after="0" w:line="276" w:lineRule="auto"/>
        <w:jc w:val="center"/>
        <w:rPr>
          <w:rFonts w:ascii="Bookman Old Style" w:hAnsi="Bookman Old Style"/>
          <w:b/>
          <w:color w:val="0070C0"/>
        </w:rPr>
      </w:pPr>
    </w:p>
    <w:p w14:paraId="58E05A94" w14:textId="77777777" w:rsidR="00E35D50" w:rsidRPr="00E35D50" w:rsidRDefault="00E35D50" w:rsidP="00AB69E4">
      <w:pPr>
        <w:spacing w:after="0"/>
        <w:rPr>
          <w:rFonts w:ascii="Bookman Old Style" w:hAnsi="Bookman Old Style"/>
        </w:rPr>
      </w:pPr>
      <w:r w:rsidRPr="00E84183">
        <w:rPr>
          <w:rFonts w:ascii="Bookman Old Style" w:hAnsi="Bookman Old Style"/>
          <w:noProof/>
        </w:rPr>
        <w:drawing>
          <wp:anchor distT="0" distB="0" distL="114300" distR="114300" simplePos="0" relativeHeight="251688960" behindDoc="0" locked="0" layoutInCell="1" allowOverlap="1" wp14:anchorId="0239D204" wp14:editId="7F3A9521">
            <wp:simplePos x="0" y="0"/>
            <wp:positionH relativeFrom="page">
              <wp:align>right</wp:align>
            </wp:positionH>
            <wp:positionV relativeFrom="page">
              <wp:align>bottom</wp:align>
            </wp:positionV>
            <wp:extent cx="7759282" cy="47815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59282" cy="478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FCE96" w14:textId="77777777" w:rsidR="00E35D50" w:rsidRPr="00E35D50" w:rsidRDefault="00E35D50" w:rsidP="00AB69E4">
      <w:pPr>
        <w:spacing w:after="0"/>
        <w:rPr>
          <w:rFonts w:ascii="Bookman Old Style" w:hAnsi="Bookman Old Style"/>
        </w:rPr>
        <w:sectPr w:rsidR="00E35D50" w:rsidRPr="00E35D50" w:rsidSect="001C4946">
          <w:pgSz w:w="12240" w:h="15840"/>
          <w:pgMar w:top="1260" w:right="1260" w:bottom="1350" w:left="1440" w:header="720" w:footer="720" w:gutter="0"/>
          <w:cols w:space="720"/>
          <w:docGrid w:linePitch="360"/>
        </w:sectPr>
      </w:pPr>
    </w:p>
    <w:p w14:paraId="3DA51CC5" w14:textId="77777777" w:rsidR="001C0F90" w:rsidRPr="00B709F4" w:rsidRDefault="001C0F90" w:rsidP="00D24940">
      <w:pPr>
        <w:pStyle w:val="NormalWeb"/>
        <w:spacing w:before="120" w:after="120" w:line="360" w:lineRule="auto"/>
        <w:jc w:val="center"/>
        <w:rPr>
          <w:rFonts w:ascii="BentonSans Black" w:hAnsi="BentonSans Black"/>
          <w:b/>
          <w:color w:val="0070C0"/>
          <w:sz w:val="22"/>
          <w:szCs w:val="22"/>
        </w:rPr>
      </w:pPr>
      <w:r w:rsidRPr="00B709F4">
        <w:rPr>
          <w:rFonts w:ascii="BentonSans Black" w:hAnsi="BentonSans Black"/>
          <w:b/>
          <w:color w:val="0070C0"/>
          <w:sz w:val="22"/>
          <w:szCs w:val="22"/>
        </w:rPr>
        <w:lastRenderedPageBreak/>
        <w:t>BNR IDENTITY STATEMENT</w:t>
      </w:r>
    </w:p>
    <w:p w14:paraId="024D87F6" w14:textId="77777777" w:rsidR="001C0F90" w:rsidRPr="00053800" w:rsidRDefault="001C0F90" w:rsidP="00B709F4">
      <w:pPr>
        <w:pStyle w:val="NormalWeb"/>
        <w:spacing w:before="120" w:after="120" w:line="276" w:lineRule="auto"/>
        <w:jc w:val="both"/>
        <w:rPr>
          <w:rFonts w:ascii="BentonSans Book" w:hAnsi="BentonSans Book"/>
          <w:b/>
          <w:sz w:val="32"/>
          <w:szCs w:val="22"/>
        </w:rPr>
      </w:pPr>
      <w:r w:rsidRPr="00053800">
        <w:rPr>
          <w:rFonts w:ascii="BentonSans Book" w:hAnsi="BentonSans Book"/>
          <w:sz w:val="22"/>
          <w:szCs w:val="22"/>
        </w:rPr>
        <w:t>The National Bank of Rwanda strives to become a world class Central Bank that contributes to the economic growth and development by using robust monetary policy tools to maintain stable market prices. The bank embraces innovation, diversity and inclusiveness, economic integration and ensures financial stability in a free market economy</w:t>
      </w:r>
      <w:r w:rsidRPr="00053800">
        <w:rPr>
          <w:rFonts w:ascii="BentonSans Book" w:hAnsi="BentonSans Book"/>
          <w:b/>
          <w:sz w:val="32"/>
          <w:szCs w:val="22"/>
        </w:rPr>
        <w:t xml:space="preserve">.  </w:t>
      </w:r>
    </w:p>
    <w:p w14:paraId="7365AC66" w14:textId="77777777" w:rsidR="00F22446" w:rsidRDefault="00F22446" w:rsidP="00D24940">
      <w:pPr>
        <w:pStyle w:val="NormalWeb"/>
        <w:spacing w:before="120" w:after="120" w:line="360" w:lineRule="auto"/>
        <w:jc w:val="center"/>
        <w:rPr>
          <w:rFonts w:ascii="BentonSans Book" w:hAnsi="BentonSans Book"/>
          <w:b/>
          <w:color w:val="0070C0"/>
          <w:szCs w:val="22"/>
        </w:rPr>
      </w:pPr>
    </w:p>
    <w:p w14:paraId="1E93C290" w14:textId="77777777" w:rsidR="001C0F90" w:rsidRPr="00B709F4" w:rsidRDefault="001C0F90" w:rsidP="00D24940">
      <w:pPr>
        <w:pStyle w:val="NormalWeb"/>
        <w:spacing w:before="120" w:after="120" w:line="360" w:lineRule="auto"/>
        <w:jc w:val="center"/>
        <w:rPr>
          <w:rFonts w:ascii="BentonSans Black" w:hAnsi="BentonSans Black"/>
          <w:b/>
          <w:color w:val="ED7D31" w:themeColor="accent2"/>
          <w:sz w:val="22"/>
          <w:szCs w:val="22"/>
        </w:rPr>
      </w:pPr>
      <w:r w:rsidRPr="00B709F4">
        <w:rPr>
          <w:rFonts w:ascii="BentonSans Black" w:hAnsi="BentonSans Black"/>
          <w:b/>
          <w:color w:val="0070C0"/>
          <w:sz w:val="22"/>
          <w:szCs w:val="22"/>
        </w:rPr>
        <w:t>VISION, MISSION AND VALUES</w:t>
      </w:r>
    </w:p>
    <w:p w14:paraId="259BE24F" w14:textId="77777777" w:rsidR="001C0F90" w:rsidRPr="00B709F4" w:rsidRDefault="001C0F90" w:rsidP="00053800">
      <w:pPr>
        <w:pStyle w:val="NormalWeb"/>
        <w:spacing w:before="120" w:after="120" w:line="360" w:lineRule="auto"/>
        <w:jc w:val="center"/>
        <w:rPr>
          <w:rFonts w:ascii="BentonSans Black" w:hAnsi="BentonSans Black"/>
          <w:b/>
          <w:color w:val="000000" w:themeColor="text1"/>
          <w:sz w:val="22"/>
          <w:szCs w:val="22"/>
        </w:rPr>
      </w:pPr>
      <w:r w:rsidRPr="00B709F4">
        <w:rPr>
          <w:rFonts w:ascii="BentonSans Black" w:hAnsi="BentonSans Black"/>
          <w:b/>
          <w:color w:val="000000" w:themeColor="text1"/>
          <w:sz w:val="22"/>
          <w:szCs w:val="22"/>
        </w:rPr>
        <w:t>V</w:t>
      </w:r>
      <w:r w:rsidR="00053800" w:rsidRPr="00B709F4">
        <w:rPr>
          <w:rFonts w:ascii="BentonSans Black" w:hAnsi="BentonSans Black"/>
          <w:b/>
          <w:color w:val="000000" w:themeColor="text1"/>
          <w:sz w:val="22"/>
          <w:szCs w:val="22"/>
        </w:rPr>
        <w:t>ISION OF THE BANK</w:t>
      </w:r>
    </w:p>
    <w:p w14:paraId="6845BBED" w14:textId="77777777" w:rsidR="001C0F90" w:rsidRPr="00053800" w:rsidRDefault="001C0F90" w:rsidP="002A006E">
      <w:pPr>
        <w:pStyle w:val="NormalWeb"/>
        <w:spacing w:before="120" w:after="120" w:line="360" w:lineRule="auto"/>
        <w:jc w:val="center"/>
        <w:rPr>
          <w:rFonts w:ascii="BentonSans Book" w:hAnsi="BentonSans Book"/>
          <w:sz w:val="22"/>
          <w:szCs w:val="22"/>
        </w:rPr>
      </w:pPr>
      <w:r w:rsidRPr="00053800">
        <w:rPr>
          <w:rFonts w:ascii="BentonSans Book" w:hAnsi="BentonSans Book"/>
          <w:sz w:val="22"/>
          <w:szCs w:val="22"/>
        </w:rPr>
        <w:t>The Vision of the Bank is to become a World-Class Central Bank</w:t>
      </w:r>
    </w:p>
    <w:p w14:paraId="56475B06" w14:textId="77777777" w:rsidR="001C0F90" w:rsidRPr="00B709F4" w:rsidRDefault="00053800" w:rsidP="00053800">
      <w:pPr>
        <w:pStyle w:val="NormalWeb"/>
        <w:spacing w:before="120" w:after="120" w:line="360" w:lineRule="auto"/>
        <w:jc w:val="center"/>
        <w:rPr>
          <w:rFonts w:ascii="BentonSans Black" w:hAnsi="BentonSans Black"/>
          <w:b/>
          <w:color w:val="000000" w:themeColor="text1"/>
          <w:sz w:val="22"/>
          <w:szCs w:val="22"/>
        </w:rPr>
      </w:pPr>
      <w:r w:rsidRPr="00B709F4">
        <w:rPr>
          <w:rFonts w:ascii="BentonSans Black" w:hAnsi="BentonSans Black"/>
          <w:b/>
          <w:color w:val="000000" w:themeColor="text1"/>
          <w:sz w:val="22"/>
          <w:szCs w:val="22"/>
        </w:rPr>
        <w:t>MISSION OF THE BANK</w:t>
      </w:r>
    </w:p>
    <w:p w14:paraId="0A7BCC8D" w14:textId="77777777" w:rsidR="001C0F90" w:rsidRPr="00053800" w:rsidRDefault="001C0F90" w:rsidP="00053800">
      <w:pPr>
        <w:pStyle w:val="NormalWeb"/>
        <w:spacing w:before="120" w:after="120" w:line="360" w:lineRule="auto"/>
        <w:jc w:val="center"/>
        <w:rPr>
          <w:rFonts w:ascii="BentonSans Book" w:hAnsi="BentonSans Book"/>
          <w:sz w:val="22"/>
          <w:szCs w:val="22"/>
        </w:rPr>
      </w:pPr>
      <w:r w:rsidRPr="00053800">
        <w:rPr>
          <w:rFonts w:ascii="BentonSans Book" w:hAnsi="BentonSans Book"/>
          <w:sz w:val="22"/>
          <w:szCs w:val="22"/>
        </w:rPr>
        <w:t>The mission of the Bank is to ensure price stability and a sound financial system</w:t>
      </w:r>
    </w:p>
    <w:p w14:paraId="4A62E8C1" w14:textId="77777777" w:rsidR="001C0F90" w:rsidRPr="00B709F4" w:rsidRDefault="00053800" w:rsidP="00053800">
      <w:pPr>
        <w:pStyle w:val="NormalWeb"/>
        <w:spacing w:before="120" w:after="120" w:line="360" w:lineRule="auto"/>
        <w:jc w:val="center"/>
        <w:rPr>
          <w:rFonts w:ascii="BentonSans Black" w:hAnsi="BentonSans Black"/>
          <w:b/>
          <w:color w:val="0070C0"/>
          <w:sz w:val="22"/>
          <w:szCs w:val="22"/>
        </w:rPr>
      </w:pPr>
      <w:r w:rsidRPr="00B709F4">
        <w:rPr>
          <w:rFonts w:ascii="BentonSans Black" w:hAnsi="BentonSans Black"/>
          <w:b/>
          <w:color w:val="0070C0"/>
          <w:sz w:val="22"/>
          <w:szCs w:val="22"/>
        </w:rPr>
        <w:t>THE BANK’S CORE VALUES</w:t>
      </w:r>
    </w:p>
    <w:p w14:paraId="4F882268" w14:textId="77777777" w:rsidR="001C0F90" w:rsidRPr="00FE5C12" w:rsidRDefault="00053800" w:rsidP="002A006E">
      <w:pPr>
        <w:pStyle w:val="NormalWeb"/>
        <w:spacing w:before="120" w:after="120" w:line="360" w:lineRule="auto"/>
        <w:jc w:val="center"/>
        <w:rPr>
          <w:rFonts w:ascii="BentonSans Book" w:hAnsi="BentonSans Book"/>
          <w:b/>
          <w:szCs w:val="22"/>
        </w:rPr>
      </w:pPr>
      <w:r w:rsidRPr="00B709F4">
        <w:rPr>
          <w:rFonts w:ascii="BentonSans Black" w:hAnsi="BentonSans Black"/>
          <w:b/>
          <w:sz w:val="22"/>
          <w:szCs w:val="22"/>
        </w:rPr>
        <w:t>INTEGRITY</w:t>
      </w:r>
    </w:p>
    <w:p w14:paraId="349CD802" w14:textId="77777777" w:rsidR="001C0F90" w:rsidRPr="00053800" w:rsidRDefault="001C0F90" w:rsidP="002A006E">
      <w:pPr>
        <w:pStyle w:val="NormalWeb"/>
        <w:spacing w:before="120" w:after="120" w:line="360" w:lineRule="auto"/>
        <w:jc w:val="center"/>
        <w:rPr>
          <w:rFonts w:ascii="BentonSans Book" w:hAnsi="BentonSans Book"/>
          <w:sz w:val="22"/>
          <w:szCs w:val="22"/>
        </w:rPr>
      </w:pPr>
      <w:r w:rsidRPr="00053800">
        <w:rPr>
          <w:rFonts w:ascii="BentonSans Book" w:hAnsi="BentonSans Book"/>
          <w:sz w:val="22"/>
          <w:szCs w:val="22"/>
        </w:rPr>
        <w:t>We uphold high moral, ethical and professional standards for our people, systems and data</w:t>
      </w:r>
    </w:p>
    <w:p w14:paraId="0017919B" w14:textId="77777777" w:rsidR="001C0F90" w:rsidRPr="00B709F4" w:rsidRDefault="00053800" w:rsidP="00053800">
      <w:pPr>
        <w:pStyle w:val="NormalWeb"/>
        <w:spacing w:before="120" w:after="120" w:line="360" w:lineRule="auto"/>
        <w:jc w:val="center"/>
        <w:rPr>
          <w:rFonts w:ascii="BentonSans Black" w:hAnsi="BentonSans Black"/>
          <w:b/>
          <w:sz w:val="22"/>
          <w:szCs w:val="22"/>
        </w:rPr>
      </w:pPr>
      <w:r w:rsidRPr="00B709F4">
        <w:rPr>
          <w:rFonts w:ascii="BentonSans Black" w:hAnsi="BentonSans Black"/>
          <w:b/>
          <w:sz w:val="22"/>
          <w:szCs w:val="22"/>
        </w:rPr>
        <w:t>ACCOUNTABILITY</w:t>
      </w:r>
    </w:p>
    <w:p w14:paraId="2339A8B9" w14:textId="77777777" w:rsidR="001C0F90" w:rsidRPr="00053800" w:rsidRDefault="001C0F90" w:rsidP="002A006E">
      <w:pPr>
        <w:pStyle w:val="NormalWeb"/>
        <w:spacing w:before="120" w:after="120" w:line="360" w:lineRule="auto"/>
        <w:jc w:val="center"/>
        <w:rPr>
          <w:rFonts w:ascii="BentonSans Book" w:hAnsi="BentonSans Book"/>
          <w:sz w:val="22"/>
          <w:szCs w:val="22"/>
        </w:rPr>
      </w:pPr>
      <w:r w:rsidRPr="00053800">
        <w:rPr>
          <w:rFonts w:ascii="BentonSans Book" w:hAnsi="BentonSans Book"/>
          <w:sz w:val="22"/>
          <w:szCs w:val="22"/>
        </w:rPr>
        <w:t xml:space="preserve">We are results-focused and transparent, and we reward according to performance </w:t>
      </w:r>
    </w:p>
    <w:p w14:paraId="760A8AA3" w14:textId="77777777" w:rsidR="001C0F90" w:rsidRPr="00B709F4" w:rsidRDefault="00053800" w:rsidP="00053800">
      <w:pPr>
        <w:pStyle w:val="NormalWeb"/>
        <w:spacing w:before="120" w:after="120" w:line="360" w:lineRule="auto"/>
        <w:jc w:val="center"/>
        <w:rPr>
          <w:rFonts w:ascii="BentonSans Black" w:hAnsi="BentonSans Black"/>
          <w:b/>
          <w:sz w:val="22"/>
          <w:szCs w:val="22"/>
        </w:rPr>
      </w:pPr>
      <w:r w:rsidRPr="00B709F4">
        <w:rPr>
          <w:rFonts w:ascii="BentonSans Black" w:hAnsi="BentonSans Black"/>
          <w:b/>
          <w:sz w:val="22"/>
          <w:szCs w:val="22"/>
        </w:rPr>
        <w:t xml:space="preserve">MUTUAL-RESPECT AND </w:t>
      </w:r>
      <w:r w:rsidR="00F22446" w:rsidRPr="00B709F4">
        <w:rPr>
          <w:rFonts w:ascii="BentonSans Black" w:hAnsi="BentonSans Black"/>
          <w:b/>
          <w:sz w:val="22"/>
          <w:szCs w:val="22"/>
        </w:rPr>
        <w:t>TEAMWORK</w:t>
      </w:r>
    </w:p>
    <w:p w14:paraId="0D7576FE" w14:textId="77777777" w:rsidR="001C0F90" w:rsidRPr="00053800" w:rsidRDefault="001C0F90" w:rsidP="002A006E">
      <w:pPr>
        <w:pStyle w:val="NormalWeb"/>
        <w:spacing w:before="120" w:after="120" w:line="360" w:lineRule="auto"/>
        <w:jc w:val="center"/>
        <w:rPr>
          <w:rFonts w:ascii="BentonSans Book" w:hAnsi="BentonSans Book"/>
        </w:rPr>
      </w:pPr>
      <w:r w:rsidRPr="00053800">
        <w:rPr>
          <w:rFonts w:ascii="BentonSans Book" w:hAnsi="BentonSans Book"/>
          <w:sz w:val="22"/>
          <w:szCs w:val="22"/>
        </w:rPr>
        <w:t>We keep ourselves in high spirit, committed to ea</w:t>
      </w:r>
      <w:r w:rsidRPr="00053800">
        <w:rPr>
          <w:rFonts w:ascii="BentonSans Book" w:hAnsi="BentonSans Book"/>
        </w:rPr>
        <w:t>ch other for success</w:t>
      </w:r>
    </w:p>
    <w:p w14:paraId="6E62B7C7" w14:textId="77777777" w:rsidR="001C0F90" w:rsidRPr="00B709F4" w:rsidRDefault="00053800" w:rsidP="00053800">
      <w:pPr>
        <w:pStyle w:val="NormalWeb"/>
        <w:spacing w:before="120" w:after="120" w:line="360" w:lineRule="auto"/>
        <w:jc w:val="center"/>
        <w:rPr>
          <w:rFonts w:ascii="BentonSans Black" w:hAnsi="BentonSans Black"/>
          <w:b/>
          <w:sz w:val="22"/>
        </w:rPr>
      </w:pPr>
      <w:r w:rsidRPr="00B709F4">
        <w:rPr>
          <w:rFonts w:ascii="BentonSans Black" w:hAnsi="BentonSans Black"/>
          <w:b/>
          <w:sz w:val="22"/>
        </w:rPr>
        <w:t>EXCELLENCE</w:t>
      </w:r>
    </w:p>
    <w:p w14:paraId="5C312E66" w14:textId="77777777" w:rsidR="001C0F90" w:rsidRPr="00053800" w:rsidRDefault="001C0F90" w:rsidP="002A006E">
      <w:pPr>
        <w:pStyle w:val="NormalWeb"/>
        <w:spacing w:before="120" w:after="120" w:line="360" w:lineRule="auto"/>
        <w:jc w:val="center"/>
        <w:rPr>
          <w:rFonts w:ascii="BentonSans Book" w:hAnsi="BentonSans Book"/>
          <w:sz w:val="22"/>
          <w:szCs w:val="22"/>
        </w:rPr>
      </w:pPr>
      <w:r w:rsidRPr="00053800">
        <w:rPr>
          <w:rFonts w:ascii="BentonSans Book" w:hAnsi="BentonSans Book"/>
          <w:sz w:val="22"/>
          <w:szCs w:val="22"/>
        </w:rPr>
        <w:t>We passionately strive to deliver quality services in a timely and cost effective manner</w:t>
      </w:r>
    </w:p>
    <w:p w14:paraId="65CDE87A" w14:textId="77777777" w:rsidR="001C0F90" w:rsidRPr="002A006E" w:rsidRDefault="001C0F90" w:rsidP="002A006E">
      <w:pPr>
        <w:pStyle w:val="NormalWeb"/>
        <w:spacing w:before="120" w:after="120" w:line="360" w:lineRule="auto"/>
        <w:jc w:val="center"/>
        <w:rPr>
          <w:rFonts w:ascii="BentonSans Book" w:hAnsi="BentonSans Book"/>
          <w:b/>
          <w:color w:val="0070C0"/>
          <w:sz w:val="32"/>
          <w:szCs w:val="22"/>
        </w:rPr>
      </w:pPr>
    </w:p>
    <w:p w14:paraId="275C7FF7" w14:textId="77777777" w:rsidR="007D77D4" w:rsidRPr="002A006E" w:rsidRDefault="007D77D4" w:rsidP="002A006E">
      <w:pPr>
        <w:pStyle w:val="NormalWeb"/>
        <w:spacing w:before="120" w:after="120" w:line="360" w:lineRule="auto"/>
        <w:jc w:val="center"/>
        <w:rPr>
          <w:rFonts w:ascii="BentonSans Book" w:hAnsi="BentonSans Book"/>
          <w:b/>
          <w:color w:val="0070C0"/>
          <w:sz w:val="32"/>
          <w:szCs w:val="22"/>
        </w:rPr>
      </w:pPr>
    </w:p>
    <w:p w14:paraId="22A5F2EF" w14:textId="77777777" w:rsidR="00E35D50" w:rsidRPr="002A006E" w:rsidRDefault="00E35D50" w:rsidP="002A006E">
      <w:pPr>
        <w:pStyle w:val="NormalWeb"/>
        <w:spacing w:before="120" w:after="120" w:line="360" w:lineRule="auto"/>
        <w:jc w:val="center"/>
        <w:rPr>
          <w:rFonts w:ascii="BentonSans Book" w:hAnsi="BentonSans Book"/>
          <w:b/>
          <w:color w:val="0070C0"/>
          <w:sz w:val="32"/>
          <w:szCs w:val="22"/>
        </w:rPr>
        <w:sectPr w:rsidR="00E35D50" w:rsidRPr="002A006E" w:rsidSect="00A9267E">
          <w:footerReference w:type="default" r:id="rId11"/>
          <w:pgSz w:w="12240" w:h="15840"/>
          <w:pgMar w:top="1260" w:right="1260" w:bottom="1350" w:left="1440" w:header="720" w:footer="720" w:gutter="0"/>
          <w:pgBorders w:offsetFrom="page">
            <w:top w:val="double" w:sz="4" w:space="24" w:color="BF8F00" w:themeColor="accent4" w:themeShade="BF"/>
            <w:left w:val="double" w:sz="4" w:space="24" w:color="BF8F00" w:themeColor="accent4" w:themeShade="BF"/>
            <w:bottom w:val="double" w:sz="4" w:space="24" w:color="BF8F00" w:themeColor="accent4" w:themeShade="BF"/>
            <w:right w:val="double" w:sz="4" w:space="24" w:color="BF8F00" w:themeColor="accent4" w:themeShade="BF"/>
          </w:pgBorders>
          <w:cols w:space="720"/>
          <w:docGrid w:linePitch="360"/>
        </w:sectPr>
      </w:pPr>
    </w:p>
    <w:p w14:paraId="53658A3F" w14:textId="18E173B3" w:rsidR="00384385" w:rsidRPr="00B709F4" w:rsidRDefault="00384385" w:rsidP="00870E7F">
      <w:pPr>
        <w:pStyle w:val="NormalWeb"/>
        <w:spacing w:before="120" w:after="120" w:line="276" w:lineRule="auto"/>
        <w:rPr>
          <w:rFonts w:ascii="BentonSans Black" w:hAnsi="BentonSans Black"/>
          <w:b/>
          <w:sz w:val="22"/>
          <w:szCs w:val="22"/>
        </w:rPr>
      </w:pPr>
      <w:r w:rsidRPr="00B709F4">
        <w:rPr>
          <w:rFonts w:ascii="BentonSans Black" w:hAnsi="BentonSans Black"/>
          <w:b/>
          <w:sz w:val="22"/>
          <w:szCs w:val="22"/>
        </w:rPr>
        <w:lastRenderedPageBreak/>
        <w:t xml:space="preserve">1. </w:t>
      </w:r>
      <w:r w:rsidR="002B61D2" w:rsidRPr="00B709F4">
        <w:rPr>
          <w:rFonts w:ascii="BentonSans Black" w:hAnsi="BentonSans Black"/>
          <w:b/>
          <w:sz w:val="22"/>
          <w:szCs w:val="22"/>
        </w:rPr>
        <w:t>Introduction</w:t>
      </w:r>
    </w:p>
    <w:p w14:paraId="602F1B93" w14:textId="52B61BDA" w:rsidR="002B61D2" w:rsidRPr="00870E7F" w:rsidRDefault="00202092" w:rsidP="00870E7F">
      <w:pPr>
        <w:pStyle w:val="NormalWeb"/>
        <w:spacing w:before="120" w:after="120" w:line="276" w:lineRule="auto"/>
        <w:jc w:val="both"/>
        <w:rPr>
          <w:rFonts w:ascii="BentonSans Book" w:hAnsi="BentonSans Book"/>
          <w:sz w:val="22"/>
          <w:szCs w:val="22"/>
        </w:rPr>
      </w:pPr>
      <w:r w:rsidRPr="00870E7F">
        <w:rPr>
          <w:rFonts w:ascii="BentonSans Book" w:hAnsi="BentonSans Book"/>
          <w:sz w:val="22"/>
          <w:szCs w:val="22"/>
        </w:rPr>
        <w:t>The National Bank of Rwanda (BNR)</w:t>
      </w:r>
      <w:r w:rsidR="002B61D2" w:rsidRPr="00870E7F">
        <w:rPr>
          <w:rFonts w:ascii="BentonSans Book" w:hAnsi="BentonSans Book"/>
          <w:sz w:val="22"/>
          <w:szCs w:val="22"/>
        </w:rPr>
        <w:t xml:space="preserve"> conduct</w:t>
      </w:r>
      <w:r w:rsidRPr="00870E7F">
        <w:rPr>
          <w:rFonts w:ascii="BentonSans Book" w:hAnsi="BentonSans Book"/>
          <w:sz w:val="22"/>
          <w:szCs w:val="22"/>
        </w:rPr>
        <w:t xml:space="preserve">s the bank lending survey on quarterly basis.  The main objective of the bank lending survey </w:t>
      </w:r>
      <w:r w:rsidR="002B61D2" w:rsidRPr="00870E7F">
        <w:rPr>
          <w:rFonts w:ascii="BentonSans Book" w:hAnsi="BentonSans Book"/>
          <w:sz w:val="22"/>
          <w:szCs w:val="22"/>
        </w:rPr>
        <w:t xml:space="preserve">is to supplement information on credit market conditions, in order to broaden the assessment of financial developments as an input into financial stability and monetary policy decisions. Findings from the survey also facilitate preparation of economic forecasts as information regarding expected changes in credit conditions could enhance the precision of economic projections. </w:t>
      </w:r>
    </w:p>
    <w:p w14:paraId="5603E2F0" w14:textId="05D0AD2E" w:rsidR="00384385" w:rsidRPr="00870E7F" w:rsidRDefault="00053800" w:rsidP="00870E7F">
      <w:pPr>
        <w:pStyle w:val="NormalWeb"/>
        <w:spacing w:before="120" w:after="120" w:line="276" w:lineRule="auto"/>
        <w:jc w:val="both"/>
        <w:rPr>
          <w:rFonts w:ascii="BentonSans Book" w:hAnsi="BentonSans Book"/>
          <w:sz w:val="22"/>
          <w:szCs w:val="22"/>
        </w:rPr>
      </w:pPr>
      <w:r w:rsidRPr="00870E7F">
        <w:rPr>
          <w:rFonts w:ascii="BentonSans Book" w:hAnsi="BentonSans Book"/>
          <w:sz w:val="22"/>
          <w:szCs w:val="22"/>
        </w:rPr>
        <w:t xml:space="preserve">The lending survey </w:t>
      </w:r>
      <w:proofErr w:type="gramStart"/>
      <w:r w:rsidRPr="00870E7F">
        <w:rPr>
          <w:rFonts w:ascii="BentonSans Book" w:hAnsi="BentonSans Book"/>
          <w:sz w:val="22"/>
          <w:szCs w:val="22"/>
        </w:rPr>
        <w:t xml:space="preserve">is </w:t>
      </w:r>
      <w:r w:rsidR="00384385" w:rsidRPr="00870E7F">
        <w:rPr>
          <w:rFonts w:ascii="BentonSans Book" w:hAnsi="BentonSans Book"/>
          <w:sz w:val="22"/>
          <w:szCs w:val="22"/>
        </w:rPr>
        <w:t>conducted</w:t>
      </w:r>
      <w:proofErr w:type="gramEnd"/>
      <w:r w:rsidR="00384385" w:rsidRPr="00870E7F">
        <w:rPr>
          <w:rFonts w:ascii="BentonSans Book" w:hAnsi="BentonSans Book"/>
          <w:sz w:val="22"/>
          <w:szCs w:val="22"/>
        </w:rPr>
        <w:t xml:space="preserve"> through a structured questionnaire that enables </w:t>
      </w:r>
      <w:r w:rsidR="00E56308" w:rsidRPr="00870E7F">
        <w:rPr>
          <w:rFonts w:ascii="BentonSans Book" w:hAnsi="BentonSans Book"/>
          <w:sz w:val="22"/>
          <w:szCs w:val="22"/>
        </w:rPr>
        <w:t xml:space="preserve">the NBR </w:t>
      </w:r>
      <w:r w:rsidR="00384385" w:rsidRPr="00870E7F">
        <w:rPr>
          <w:rFonts w:ascii="BentonSans Book" w:hAnsi="BentonSans Book"/>
          <w:sz w:val="22"/>
          <w:szCs w:val="22"/>
        </w:rPr>
        <w:t>to obtain quantitative and qualitative information directly from banks operating on Rwandan credit market. The questionnaire focuses on both the credit supply side (credit standards and terms and conditions for approving loans as stipulated by banks) and the credit demand side (demand for loans among households and enterprises as perceived by banks)</w:t>
      </w:r>
      <w:r w:rsidR="0081385D" w:rsidRPr="00870E7F">
        <w:rPr>
          <w:rFonts w:ascii="BentonSans Book" w:hAnsi="BentonSans Book"/>
          <w:sz w:val="22"/>
          <w:szCs w:val="22"/>
        </w:rPr>
        <w:t xml:space="preserve">, and entails  the </w:t>
      </w:r>
      <w:r w:rsidR="00384385" w:rsidRPr="00870E7F">
        <w:rPr>
          <w:rFonts w:ascii="BentonSans Book" w:hAnsi="BentonSans Book"/>
          <w:sz w:val="22"/>
          <w:szCs w:val="22"/>
        </w:rPr>
        <w:t xml:space="preserve"> most significant factors underlying changes in supply and demand. </w:t>
      </w:r>
    </w:p>
    <w:p w14:paraId="64E49FC7" w14:textId="10BBE164" w:rsidR="00053800" w:rsidRPr="00870E7F" w:rsidRDefault="00384385" w:rsidP="00870E7F">
      <w:pPr>
        <w:pStyle w:val="NormalWeb"/>
        <w:spacing w:before="120" w:after="120" w:line="276" w:lineRule="auto"/>
        <w:jc w:val="both"/>
        <w:rPr>
          <w:rFonts w:ascii="BentonSans Book" w:hAnsi="BentonSans Book"/>
          <w:sz w:val="22"/>
          <w:szCs w:val="22"/>
        </w:rPr>
      </w:pPr>
      <w:r w:rsidRPr="00870E7F">
        <w:rPr>
          <w:rFonts w:ascii="BentonSans Book" w:hAnsi="BentonSans Book"/>
          <w:sz w:val="22"/>
          <w:szCs w:val="22"/>
        </w:rPr>
        <w:t xml:space="preserve">The credit survey covers not only the observed evolution of credit standards and credit demand in the previous periods, but also the expected developments in </w:t>
      </w:r>
      <w:r w:rsidR="00F22446" w:rsidRPr="00870E7F">
        <w:rPr>
          <w:rFonts w:ascii="BentonSans Book" w:hAnsi="BentonSans Book"/>
          <w:sz w:val="22"/>
          <w:szCs w:val="22"/>
        </w:rPr>
        <w:t xml:space="preserve">the </w:t>
      </w:r>
      <w:r w:rsidRPr="00870E7F">
        <w:rPr>
          <w:rFonts w:ascii="BentonSans Book" w:hAnsi="BentonSans Book"/>
          <w:sz w:val="22"/>
          <w:szCs w:val="22"/>
        </w:rPr>
        <w:t xml:space="preserve">near future. The questionnaire </w:t>
      </w:r>
      <w:proofErr w:type="gramStart"/>
      <w:r w:rsidRPr="00870E7F">
        <w:rPr>
          <w:rFonts w:ascii="BentonSans Book" w:hAnsi="BentonSans Book"/>
          <w:sz w:val="22"/>
          <w:szCs w:val="22"/>
        </w:rPr>
        <w:t>is addressed</w:t>
      </w:r>
      <w:proofErr w:type="gramEnd"/>
      <w:r w:rsidRPr="00870E7F">
        <w:rPr>
          <w:rFonts w:ascii="BentonSans Book" w:hAnsi="BentonSans Book"/>
          <w:sz w:val="22"/>
          <w:szCs w:val="22"/>
        </w:rPr>
        <w:t xml:space="preserve"> to senior credit officers of banks to indicate their banks’ position in terms of demand for credit, </w:t>
      </w:r>
      <w:r w:rsidR="0081385D" w:rsidRPr="00870E7F">
        <w:rPr>
          <w:rFonts w:ascii="BentonSans Book" w:hAnsi="BentonSans Book"/>
          <w:sz w:val="22"/>
          <w:szCs w:val="22"/>
        </w:rPr>
        <w:t xml:space="preserve">approval of credit, </w:t>
      </w:r>
      <w:r w:rsidRPr="00870E7F">
        <w:rPr>
          <w:rFonts w:ascii="BentonSans Book" w:hAnsi="BentonSans Book"/>
          <w:sz w:val="22"/>
          <w:szCs w:val="22"/>
        </w:rPr>
        <w:t xml:space="preserve">credit standards and terms and conditions. </w:t>
      </w:r>
      <w:r w:rsidR="0056230F" w:rsidRPr="00870E7F">
        <w:rPr>
          <w:rFonts w:ascii="BentonSans Book" w:hAnsi="BentonSans Book"/>
          <w:sz w:val="22"/>
          <w:szCs w:val="22"/>
        </w:rPr>
        <w:t xml:space="preserve">The recent bank lending survey </w:t>
      </w:r>
      <w:proofErr w:type="gramStart"/>
      <w:r w:rsidR="0056230F" w:rsidRPr="00870E7F">
        <w:rPr>
          <w:rFonts w:ascii="BentonSans Book" w:hAnsi="BentonSans Book"/>
          <w:sz w:val="22"/>
          <w:szCs w:val="22"/>
        </w:rPr>
        <w:t>was conducted</w:t>
      </w:r>
      <w:proofErr w:type="gramEnd"/>
      <w:r w:rsidR="0056230F" w:rsidRPr="00870E7F">
        <w:rPr>
          <w:rFonts w:ascii="BentonSans Book" w:hAnsi="BentonSans Book"/>
          <w:sz w:val="22"/>
          <w:szCs w:val="22"/>
        </w:rPr>
        <w:t xml:space="preserve"> in April 2019, covering three months period between January and March 2019. </w:t>
      </w:r>
      <w:r w:rsidRPr="00870E7F">
        <w:rPr>
          <w:rFonts w:ascii="BentonSans Book" w:hAnsi="BentonSans Book"/>
          <w:sz w:val="22"/>
          <w:szCs w:val="22"/>
        </w:rPr>
        <w:t xml:space="preserve">The qualitative information contained in the survey are based on lenders’ own responses to the survey, and do not necessarily reflect the </w:t>
      </w:r>
      <w:r w:rsidR="0081385D" w:rsidRPr="00870E7F">
        <w:rPr>
          <w:rFonts w:ascii="BentonSans Book" w:hAnsi="BentonSans Book"/>
          <w:sz w:val="22"/>
          <w:szCs w:val="22"/>
        </w:rPr>
        <w:t>NBR</w:t>
      </w:r>
      <w:r w:rsidRPr="00870E7F">
        <w:rPr>
          <w:rFonts w:ascii="BentonSans Book" w:hAnsi="BentonSans Book"/>
          <w:sz w:val="22"/>
          <w:szCs w:val="22"/>
        </w:rPr>
        <w:t xml:space="preserve">’s views on credit conditions. </w:t>
      </w:r>
    </w:p>
    <w:p w14:paraId="1598A88F" w14:textId="2C5D79D3" w:rsidR="00E75BAA" w:rsidRPr="00B709F4" w:rsidRDefault="004929A2" w:rsidP="00870E7F">
      <w:pPr>
        <w:pStyle w:val="NormalWeb"/>
        <w:tabs>
          <w:tab w:val="center" w:pos="4770"/>
        </w:tabs>
        <w:spacing w:before="120" w:after="120" w:line="276" w:lineRule="auto"/>
        <w:rPr>
          <w:rFonts w:ascii="BentonSans Black" w:hAnsi="BentonSans Black"/>
          <w:b/>
          <w:sz w:val="22"/>
          <w:szCs w:val="22"/>
        </w:rPr>
      </w:pPr>
      <w:r w:rsidRPr="00B709F4">
        <w:rPr>
          <w:rFonts w:ascii="BentonSans Black" w:hAnsi="BentonSans Black"/>
          <w:b/>
          <w:sz w:val="22"/>
          <w:szCs w:val="22"/>
        </w:rPr>
        <w:t>2</w:t>
      </w:r>
      <w:r w:rsidR="00E75BAA" w:rsidRPr="00B709F4">
        <w:rPr>
          <w:rFonts w:ascii="BentonSans Black" w:hAnsi="BentonSans Black"/>
          <w:b/>
          <w:sz w:val="22"/>
          <w:szCs w:val="22"/>
        </w:rPr>
        <w:t xml:space="preserve">. </w:t>
      </w:r>
      <w:r w:rsidRPr="00B709F4">
        <w:rPr>
          <w:rFonts w:ascii="BentonSans Black" w:hAnsi="BentonSans Black"/>
          <w:b/>
          <w:sz w:val="22"/>
          <w:szCs w:val="22"/>
        </w:rPr>
        <w:t>The Bank Lending Survey Results</w:t>
      </w:r>
      <w:r w:rsidR="003D0C75" w:rsidRPr="00B709F4">
        <w:rPr>
          <w:rFonts w:ascii="BentonSans Black" w:hAnsi="BentonSans Black"/>
          <w:b/>
          <w:sz w:val="22"/>
          <w:szCs w:val="22"/>
        </w:rPr>
        <w:tab/>
      </w:r>
    </w:p>
    <w:p w14:paraId="1C87326B" w14:textId="7A4907B9" w:rsidR="00E75BAA" w:rsidRPr="00B709F4" w:rsidRDefault="004929A2" w:rsidP="00870E7F">
      <w:pPr>
        <w:pStyle w:val="NormalWeb"/>
        <w:spacing w:before="120" w:after="120" w:line="276" w:lineRule="auto"/>
        <w:rPr>
          <w:rFonts w:ascii="BentonSans Black" w:hAnsi="BentonSans Black"/>
          <w:b/>
          <w:sz w:val="22"/>
          <w:szCs w:val="22"/>
        </w:rPr>
      </w:pPr>
      <w:r w:rsidRPr="00B709F4">
        <w:rPr>
          <w:rFonts w:ascii="BentonSans Black" w:hAnsi="BentonSans Black"/>
          <w:b/>
          <w:sz w:val="22"/>
          <w:szCs w:val="22"/>
        </w:rPr>
        <w:t xml:space="preserve">2.1 </w:t>
      </w:r>
      <w:r w:rsidR="00E75BAA" w:rsidRPr="00B709F4">
        <w:rPr>
          <w:rFonts w:ascii="BentonSans Black" w:hAnsi="BentonSans Black"/>
          <w:b/>
          <w:sz w:val="22"/>
          <w:szCs w:val="22"/>
        </w:rPr>
        <w:t xml:space="preserve">The Demand </w:t>
      </w:r>
      <w:r w:rsidR="00950D5E" w:rsidRPr="00B709F4">
        <w:rPr>
          <w:rFonts w:ascii="BentonSans Black" w:hAnsi="BentonSans Black"/>
          <w:b/>
          <w:sz w:val="22"/>
          <w:szCs w:val="22"/>
        </w:rPr>
        <w:t xml:space="preserve">and Supply of </w:t>
      </w:r>
      <w:r w:rsidR="00E75BAA" w:rsidRPr="00B709F4">
        <w:rPr>
          <w:rFonts w:ascii="BentonSans Black" w:hAnsi="BentonSans Black"/>
          <w:b/>
          <w:sz w:val="22"/>
          <w:szCs w:val="22"/>
        </w:rPr>
        <w:t>Credit</w:t>
      </w:r>
    </w:p>
    <w:p w14:paraId="7F73F01D" w14:textId="7291CB2C" w:rsidR="00950D5E" w:rsidRPr="00870E7F" w:rsidRDefault="004929A2" w:rsidP="00870E7F">
      <w:pPr>
        <w:spacing w:line="276" w:lineRule="auto"/>
        <w:jc w:val="both"/>
        <w:rPr>
          <w:rFonts w:ascii="BentonSans Book" w:eastAsia="Times New Roman" w:hAnsi="BentonSans Book" w:cs="Times New Roman"/>
        </w:rPr>
      </w:pPr>
      <w:r w:rsidRPr="00870E7F">
        <w:rPr>
          <w:rFonts w:ascii="BentonSans Book" w:eastAsia="Times New Roman" w:hAnsi="BentonSans Book" w:cs="Times New Roman"/>
        </w:rPr>
        <w:t>As banks predicted i</w:t>
      </w:r>
      <w:r w:rsidR="00970386" w:rsidRPr="00870E7F">
        <w:rPr>
          <w:rFonts w:ascii="BentonSans Book" w:eastAsia="Times New Roman" w:hAnsi="BentonSans Book" w:cs="Times New Roman"/>
        </w:rPr>
        <w:t>n January 2019,</w:t>
      </w:r>
      <w:r w:rsidR="00D97DA9" w:rsidRPr="00870E7F">
        <w:rPr>
          <w:rFonts w:ascii="BentonSans Book" w:hAnsi="BentonSans Book"/>
        </w:rPr>
        <w:t xml:space="preserve"> </w:t>
      </w:r>
      <w:r w:rsidR="00E75BAA" w:rsidRPr="00870E7F">
        <w:rPr>
          <w:rFonts w:ascii="BentonSans Book" w:hAnsi="BentonSans Book"/>
        </w:rPr>
        <w:t>the demand for credit</w:t>
      </w:r>
      <w:r w:rsidR="00E75BAA" w:rsidRPr="00870E7F">
        <w:rPr>
          <w:rFonts w:ascii="BentonSans Book" w:hAnsi="BentonSans Book"/>
          <w:vertAlign w:val="superscript"/>
        </w:rPr>
        <w:footnoteReference w:id="1"/>
      </w:r>
      <w:r w:rsidR="00E75BAA" w:rsidRPr="00870E7F">
        <w:rPr>
          <w:rFonts w:ascii="BentonSans Book" w:hAnsi="BentonSans Book"/>
          <w:vertAlign w:val="superscript"/>
        </w:rPr>
        <w:t xml:space="preserve"> </w:t>
      </w:r>
      <w:r w:rsidR="00D97DA9" w:rsidRPr="00870E7F">
        <w:rPr>
          <w:rFonts w:ascii="BentonSans Book" w:hAnsi="BentonSans Book"/>
          <w:vertAlign w:val="superscript"/>
        </w:rPr>
        <w:t xml:space="preserve"> </w:t>
      </w:r>
      <w:r w:rsidR="00970386" w:rsidRPr="00870E7F">
        <w:rPr>
          <w:rFonts w:ascii="BentonSans Book" w:eastAsia="Times New Roman" w:hAnsi="BentonSans Book" w:cs="Times New Roman"/>
        </w:rPr>
        <w:t xml:space="preserve">increased in the first quarter of 2019. </w:t>
      </w:r>
      <w:r w:rsidR="00D97DA9" w:rsidRPr="00870E7F">
        <w:rPr>
          <w:rFonts w:ascii="BentonSans Book" w:hAnsi="BentonSans Book"/>
        </w:rPr>
        <w:t xml:space="preserve"> </w:t>
      </w:r>
      <w:r w:rsidR="00F90FD2" w:rsidRPr="00870E7F">
        <w:rPr>
          <w:rFonts w:ascii="BentonSans Book" w:hAnsi="BentonSans Book"/>
        </w:rPr>
        <w:t xml:space="preserve">The value of </w:t>
      </w:r>
      <w:r w:rsidR="00814974" w:rsidRPr="00870E7F">
        <w:rPr>
          <w:rFonts w:ascii="BentonSans Book" w:hAnsi="BentonSans Book"/>
        </w:rPr>
        <w:t>loan application</w:t>
      </w:r>
      <w:r w:rsidR="00F90FD2" w:rsidRPr="00870E7F">
        <w:rPr>
          <w:rFonts w:ascii="BentonSans Book" w:hAnsi="BentonSans Book"/>
        </w:rPr>
        <w:t>s increased from FRW 264.5</w:t>
      </w:r>
      <w:r w:rsidR="00814974" w:rsidRPr="00870E7F">
        <w:rPr>
          <w:rFonts w:ascii="BentonSans Book" w:hAnsi="BentonSans Book"/>
        </w:rPr>
        <w:t xml:space="preserve"> billion in </w:t>
      </w:r>
      <w:r w:rsidR="00F90FD2" w:rsidRPr="00870E7F">
        <w:rPr>
          <w:rFonts w:ascii="BentonSans Book" w:hAnsi="BentonSans Book"/>
        </w:rPr>
        <w:t xml:space="preserve">the first quarter of 2018 </w:t>
      </w:r>
      <w:proofErr w:type="gramStart"/>
      <w:r w:rsidR="00F90FD2" w:rsidRPr="00870E7F">
        <w:rPr>
          <w:rFonts w:ascii="BentonSans Book" w:hAnsi="BentonSans Book"/>
        </w:rPr>
        <w:t>to  FRW</w:t>
      </w:r>
      <w:proofErr w:type="gramEnd"/>
      <w:r w:rsidR="00F90FD2" w:rsidRPr="00870E7F">
        <w:rPr>
          <w:rFonts w:ascii="BentonSans Book" w:hAnsi="BentonSans Book"/>
        </w:rPr>
        <w:t xml:space="preserve"> 326.1 </w:t>
      </w:r>
      <w:r w:rsidR="00814974" w:rsidRPr="00870E7F">
        <w:rPr>
          <w:rFonts w:ascii="BentonSans Book" w:hAnsi="BentonSans Book"/>
        </w:rPr>
        <w:t xml:space="preserve">billion in </w:t>
      </w:r>
      <w:r w:rsidR="00F90FD2" w:rsidRPr="00870E7F">
        <w:rPr>
          <w:rFonts w:ascii="BentonSans Book" w:hAnsi="BentonSans Book"/>
        </w:rPr>
        <w:t>first quarter of 2019, while the volume of loan applications increased from  101,080 in the first quarter of 2018 to  118,935  in first quarter of 2019, representing an increase of 23.3  percent in value and 17.6 in volume.</w:t>
      </w:r>
      <w:r w:rsidR="00CD51D4">
        <w:rPr>
          <w:rFonts w:ascii="BentonSans Book" w:hAnsi="BentonSans Book"/>
        </w:rPr>
        <w:t xml:space="preserve"> </w:t>
      </w:r>
      <w:r w:rsidR="00950D5E">
        <w:rPr>
          <w:rFonts w:ascii="BentonSans Book" w:hAnsi="BentonSans Book"/>
        </w:rPr>
        <w:t xml:space="preserve">The increased </w:t>
      </w:r>
      <w:r w:rsidR="003F1FBF">
        <w:rPr>
          <w:rFonts w:ascii="BentonSans Book" w:hAnsi="BentonSans Book"/>
        </w:rPr>
        <w:t xml:space="preserve">in demand for loans </w:t>
      </w:r>
      <w:proofErr w:type="gramStart"/>
      <w:r w:rsidR="003F1FBF">
        <w:rPr>
          <w:rFonts w:ascii="BentonSans Book" w:hAnsi="BentonSans Book"/>
        </w:rPr>
        <w:t xml:space="preserve">is mainly </w:t>
      </w:r>
      <w:r w:rsidR="00950D5E">
        <w:rPr>
          <w:rFonts w:ascii="BentonSans Book" w:hAnsi="BentonSans Book"/>
        </w:rPr>
        <w:t>attributed</w:t>
      </w:r>
      <w:proofErr w:type="gramEnd"/>
      <w:r w:rsidR="00950D5E">
        <w:rPr>
          <w:rFonts w:ascii="BentonSans Book" w:hAnsi="BentonSans Book"/>
        </w:rPr>
        <w:t xml:space="preserve"> to the </w:t>
      </w:r>
      <w:r w:rsidR="005A06F4" w:rsidRPr="003D0C75">
        <w:rPr>
          <w:rFonts w:ascii="BentonSans Book" w:hAnsi="BentonSans Book"/>
        </w:rPr>
        <w:t>increa</w:t>
      </w:r>
      <w:r w:rsidR="00214582">
        <w:rPr>
          <w:rFonts w:ascii="BentonSans Book" w:hAnsi="BentonSans Book"/>
        </w:rPr>
        <w:t xml:space="preserve">se in consumption expenditure and </w:t>
      </w:r>
      <w:r w:rsidR="00950D5E">
        <w:rPr>
          <w:rFonts w:ascii="BentonSans Book" w:hAnsi="BentonSans Book"/>
        </w:rPr>
        <w:t>financing needs in line with the economic development.</w:t>
      </w:r>
    </w:p>
    <w:p w14:paraId="07A15EED" w14:textId="1C0A3E91" w:rsidR="009205CC" w:rsidRPr="00950D5E" w:rsidRDefault="00950D5E" w:rsidP="00870E7F">
      <w:pPr>
        <w:pStyle w:val="NormalWeb"/>
        <w:spacing w:before="120" w:after="120" w:line="276" w:lineRule="auto"/>
        <w:jc w:val="both"/>
        <w:rPr>
          <w:rFonts w:ascii="BentonSans Book" w:hAnsi="BentonSans Book"/>
        </w:rPr>
      </w:pPr>
      <w:r>
        <w:rPr>
          <w:rFonts w:ascii="BentonSans Book" w:hAnsi="BentonSans Book"/>
          <w:sz w:val="22"/>
          <w:szCs w:val="22"/>
        </w:rPr>
        <w:t xml:space="preserve">With regards to the supply of loans, </w:t>
      </w:r>
      <w:r w:rsidR="003C59F8">
        <w:rPr>
          <w:rFonts w:ascii="BentonSans Book" w:hAnsi="BentonSans Book"/>
          <w:sz w:val="22"/>
          <w:szCs w:val="22"/>
        </w:rPr>
        <w:t xml:space="preserve"> new authorized loans</w:t>
      </w:r>
      <w:r>
        <w:rPr>
          <w:rFonts w:ascii="BentonSans Book" w:hAnsi="BentonSans Book"/>
          <w:sz w:val="22"/>
          <w:szCs w:val="22"/>
        </w:rPr>
        <w:t xml:space="preserve"> by banks </w:t>
      </w:r>
      <w:r w:rsidR="003C59F8">
        <w:rPr>
          <w:rFonts w:ascii="BentonSans Book" w:hAnsi="BentonSans Book"/>
          <w:sz w:val="22"/>
          <w:szCs w:val="22"/>
        </w:rPr>
        <w:t xml:space="preserve"> grew by </w:t>
      </w:r>
      <w:r>
        <w:rPr>
          <w:rFonts w:ascii="BentonSans Book" w:hAnsi="BentonSans Book"/>
          <w:sz w:val="22"/>
          <w:szCs w:val="22"/>
        </w:rPr>
        <w:t>24.9  percent (from FRW 197.9 billion in first quarter of 2018  to FRW 247.2</w:t>
      </w:r>
      <w:r w:rsidR="0040442D">
        <w:rPr>
          <w:rFonts w:ascii="BentonSans Book" w:hAnsi="BentonSans Book"/>
          <w:sz w:val="22"/>
          <w:szCs w:val="22"/>
        </w:rPr>
        <w:t xml:space="preserve"> billion in </w:t>
      </w:r>
      <w:r>
        <w:rPr>
          <w:rFonts w:ascii="BentonSans Book" w:hAnsi="BentonSans Book"/>
          <w:sz w:val="22"/>
          <w:szCs w:val="22"/>
        </w:rPr>
        <w:t xml:space="preserve">the first quarter 2019), compared to a decline of 7.4 </w:t>
      </w:r>
      <w:r w:rsidR="0040442D">
        <w:rPr>
          <w:rFonts w:ascii="BentonSans Book" w:hAnsi="BentonSans Book"/>
          <w:sz w:val="22"/>
          <w:szCs w:val="22"/>
        </w:rPr>
        <w:t xml:space="preserve"> percent recorded in </w:t>
      </w:r>
      <w:r>
        <w:rPr>
          <w:rFonts w:ascii="BentonSans Book" w:hAnsi="BentonSans Book"/>
          <w:sz w:val="22"/>
          <w:szCs w:val="22"/>
        </w:rPr>
        <w:t xml:space="preserve">the first quarter 2018. </w:t>
      </w:r>
      <w:r w:rsidR="0040442D">
        <w:rPr>
          <w:rFonts w:ascii="BentonSans Book" w:hAnsi="BentonSans Book"/>
          <w:sz w:val="22"/>
          <w:szCs w:val="22"/>
        </w:rPr>
        <w:t xml:space="preserve"> </w:t>
      </w:r>
      <w:r w:rsidR="008859F9">
        <w:rPr>
          <w:rFonts w:ascii="BentonSans Book" w:hAnsi="BentonSans Book"/>
          <w:sz w:val="22"/>
          <w:szCs w:val="22"/>
        </w:rPr>
        <w:t>During the first quarter of 2019, banks approved 98,993</w:t>
      </w:r>
      <w:r w:rsidR="0040442D">
        <w:rPr>
          <w:rFonts w:ascii="BentonSans Book" w:hAnsi="BentonSans Book"/>
          <w:sz w:val="22"/>
          <w:szCs w:val="22"/>
        </w:rPr>
        <w:t xml:space="preserve"> </w:t>
      </w:r>
      <w:r w:rsidR="00E75BAA" w:rsidRPr="009D1113">
        <w:rPr>
          <w:rFonts w:ascii="BentonSans Book" w:hAnsi="BentonSans Book"/>
          <w:sz w:val="22"/>
          <w:szCs w:val="22"/>
        </w:rPr>
        <w:t xml:space="preserve">loans worth FRW </w:t>
      </w:r>
      <w:r w:rsidR="008859F9">
        <w:rPr>
          <w:rFonts w:ascii="BentonSans Book" w:hAnsi="BentonSans Book"/>
          <w:sz w:val="22"/>
          <w:szCs w:val="22"/>
        </w:rPr>
        <w:t>247.2 billion, compared to 79,289</w:t>
      </w:r>
      <w:r w:rsidR="0040442D">
        <w:rPr>
          <w:rFonts w:ascii="BentonSans Book" w:hAnsi="BentonSans Book"/>
          <w:sz w:val="22"/>
          <w:szCs w:val="22"/>
        </w:rPr>
        <w:t xml:space="preserve"> loans</w:t>
      </w:r>
      <w:r w:rsidR="00594139">
        <w:rPr>
          <w:rFonts w:ascii="BentonSans Book" w:hAnsi="BentonSans Book"/>
          <w:sz w:val="22"/>
          <w:szCs w:val="22"/>
        </w:rPr>
        <w:t xml:space="preserve"> </w:t>
      </w:r>
      <w:r w:rsidR="008859F9">
        <w:rPr>
          <w:rFonts w:ascii="BentonSans Book" w:hAnsi="BentonSans Book"/>
          <w:sz w:val="22"/>
          <w:szCs w:val="22"/>
        </w:rPr>
        <w:t>worth FRW 197.9</w:t>
      </w:r>
      <w:r w:rsidR="0040442D">
        <w:rPr>
          <w:rFonts w:ascii="BentonSans Book" w:hAnsi="BentonSans Book"/>
          <w:sz w:val="22"/>
          <w:szCs w:val="22"/>
        </w:rPr>
        <w:t xml:space="preserve"> </w:t>
      </w:r>
      <w:r w:rsidR="00E75BAA" w:rsidRPr="009D1113">
        <w:rPr>
          <w:rFonts w:ascii="BentonSans Book" w:hAnsi="BentonSans Book"/>
          <w:sz w:val="22"/>
          <w:szCs w:val="22"/>
        </w:rPr>
        <w:t xml:space="preserve">billion that were approved </w:t>
      </w:r>
      <w:r w:rsidR="008859F9">
        <w:rPr>
          <w:rFonts w:ascii="BentonSans Book" w:hAnsi="BentonSans Book"/>
          <w:sz w:val="22"/>
          <w:szCs w:val="22"/>
        </w:rPr>
        <w:t>in the first quarter of 2018</w:t>
      </w:r>
      <w:r w:rsidR="00594139" w:rsidRPr="009205CC">
        <w:rPr>
          <w:rFonts w:ascii="BentonSans Book" w:hAnsi="BentonSans Book"/>
          <w:sz w:val="22"/>
          <w:szCs w:val="22"/>
        </w:rPr>
        <w:t xml:space="preserve">. The </w:t>
      </w:r>
      <w:r w:rsidR="00B11BEB">
        <w:rPr>
          <w:rFonts w:ascii="BentonSans Book" w:hAnsi="BentonSans Book"/>
          <w:sz w:val="22"/>
          <w:szCs w:val="22"/>
        </w:rPr>
        <w:t>growth of new loans is</w:t>
      </w:r>
      <w:r w:rsidR="00E75BAA" w:rsidRPr="009205CC">
        <w:rPr>
          <w:rFonts w:ascii="BentonSans Book" w:hAnsi="BentonSans Book"/>
          <w:sz w:val="22"/>
          <w:szCs w:val="22"/>
        </w:rPr>
        <w:t xml:space="preserve"> mainly attributable to </w:t>
      </w:r>
      <w:r w:rsidR="008859F9">
        <w:rPr>
          <w:rFonts w:ascii="BentonSans Book" w:hAnsi="BentonSans Book"/>
          <w:sz w:val="22"/>
          <w:szCs w:val="22"/>
        </w:rPr>
        <w:t xml:space="preserve">a combination of </w:t>
      </w:r>
      <w:r w:rsidR="00B11BEB">
        <w:rPr>
          <w:rFonts w:ascii="BentonSans Book" w:hAnsi="BentonSans Book"/>
          <w:sz w:val="22"/>
          <w:szCs w:val="22"/>
        </w:rPr>
        <w:t>increased</w:t>
      </w:r>
      <w:r w:rsidR="008859F9">
        <w:rPr>
          <w:rFonts w:ascii="BentonSans Book" w:hAnsi="BentonSans Book"/>
          <w:sz w:val="22"/>
          <w:szCs w:val="22"/>
        </w:rPr>
        <w:t xml:space="preserve"> demand for loans and lending appetite of banks</w:t>
      </w:r>
      <w:r w:rsidR="00B11BEB">
        <w:rPr>
          <w:rFonts w:ascii="BentonSans Book" w:hAnsi="BentonSans Book"/>
          <w:sz w:val="22"/>
          <w:szCs w:val="22"/>
        </w:rPr>
        <w:t xml:space="preserve">. </w:t>
      </w:r>
      <w:proofErr w:type="gramStart"/>
      <w:r w:rsidR="00B11BEB">
        <w:rPr>
          <w:rFonts w:ascii="BentonSans Book" w:hAnsi="BentonSans Book"/>
          <w:sz w:val="22"/>
          <w:szCs w:val="22"/>
        </w:rPr>
        <w:t xml:space="preserve">In </w:t>
      </w:r>
      <w:r w:rsidR="00B11BEB">
        <w:rPr>
          <w:rFonts w:ascii="BentonSans Book" w:hAnsi="BentonSans Book"/>
          <w:sz w:val="22"/>
          <w:szCs w:val="22"/>
        </w:rPr>
        <w:lastRenderedPageBreak/>
        <w:t>this regards</w:t>
      </w:r>
      <w:r w:rsidR="009B4D4A">
        <w:rPr>
          <w:rFonts w:ascii="BentonSans Book" w:hAnsi="BentonSans Book"/>
          <w:sz w:val="22"/>
          <w:szCs w:val="22"/>
        </w:rPr>
        <w:t>, the loan</w:t>
      </w:r>
      <w:r w:rsidR="00960D3E">
        <w:rPr>
          <w:rFonts w:ascii="BentonSans Book" w:hAnsi="BentonSans Book"/>
          <w:sz w:val="22"/>
          <w:szCs w:val="22"/>
        </w:rPr>
        <w:t xml:space="preserve"> </w:t>
      </w:r>
      <w:r w:rsidR="005250B6">
        <w:rPr>
          <w:rFonts w:ascii="BentonSans Book" w:hAnsi="BentonSans Book"/>
          <w:sz w:val="22"/>
          <w:szCs w:val="22"/>
        </w:rPr>
        <w:t>approval rate</w:t>
      </w:r>
      <w:r w:rsidR="00DB6100">
        <w:rPr>
          <w:rFonts w:ascii="BentonSans Book" w:hAnsi="BentonSans Book"/>
          <w:sz w:val="22"/>
          <w:szCs w:val="22"/>
        </w:rPr>
        <w:t xml:space="preserve"> (</w:t>
      </w:r>
      <w:r w:rsidR="0032081D">
        <w:rPr>
          <w:rFonts w:ascii="BentonSans Book" w:hAnsi="BentonSans Book"/>
          <w:sz w:val="22"/>
          <w:szCs w:val="22"/>
        </w:rPr>
        <w:t>which measures the proportion of loans appro</w:t>
      </w:r>
      <w:r w:rsidR="005250B6">
        <w:rPr>
          <w:rFonts w:ascii="BentonSans Book" w:hAnsi="BentonSans Book"/>
          <w:sz w:val="22"/>
          <w:szCs w:val="22"/>
        </w:rPr>
        <w:t>ved vis a vis the total</w:t>
      </w:r>
      <w:r w:rsidR="0032081D">
        <w:rPr>
          <w:rFonts w:ascii="BentonSans Book" w:hAnsi="BentonSans Book"/>
          <w:sz w:val="22"/>
          <w:szCs w:val="22"/>
        </w:rPr>
        <w:t xml:space="preserve"> loans applied</w:t>
      </w:r>
      <w:r w:rsidR="00DB6100">
        <w:rPr>
          <w:rFonts w:ascii="BentonSans Book" w:hAnsi="BentonSans Book"/>
          <w:sz w:val="22"/>
          <w:szCs w:val="22"/>
        </w:rPr>
        <w:t xml:space="preserve">), </w:t>
      </w:r>
      <w:r w:rsidR="009B4D4A">
        <w:rPr>
          <w:rFonts w:ascii="BentonSans Book" w:hAnsi="BentonSans Book"/>
          <w:sz w:val="22"/>
          <w:szCs w:val="22"/>
        </w:rPr>
        <w:t>in</w:t>
      </w:r>
      <w:r w:rsidR="0032081D">
        <w:rPr>
          <w:rFonts w:ascii="BentonSans Book" w:hAnsi="BentonSans Book"/>
          <w:sz w:val="22"/>
          <w:szCs w:val="22"/>
        </w:rPr>
        <w:t xml:space="preserve">creased </w:t>
      </w:r>
      <w:r w:rsidR="008859F9">
        <w:rPr>
          <w:rFonts w:ascii="BentonSans Book" w:hAnsi="BentonSans Book"/>
          <w:sz w:val="22"/>
          <w:szCs w:val="22"/>
        </w:rPr>
        <w:t>from 74.9</w:t>
      </w:r>
      <w:r w:rsidR="0032081D">
        <w:rPr>
          <w:rFonts w:ascii="BentonSans Book" w:hAnsi="BentonSans Book"/>
          <w:sz w:val="22"/>
          <w:szCs w:val="22"/>
        </w:rPr>
        <w:t xml:space="preserve"> percent</w:t>
      </w:r>
      <w:r w:rsidR="009B4D4A">
        <w:rPr>
          <w:rFonts w:ascii="BentonSans Book" w:hAnsi="BentonSans Book"/>
          <w:sz w:val="22"/>
          <w:szCs w:val="22"/>
        </w:rPr>
        <w:t xml:space="preserve"> </w:t>
      </w:r>
      <w:r w:rsidR="0032081D">
        <w:rPr>
          <w:rFonts w:ascii="BentonSans Book" w:hAnsi="BentonSans Book"/>
          <w:sz w:val="22"/>
          <w:szCs w:val="22"/>
        </w:rPr>
        <w:t>in</w:t>
      </w:r>
      <w:r w:rsidR="008859F9">
        <w:rPr>
          <w:rFonts w:ascii="BentonSans Book" w:hAnsi="BentonSans Book"/>
          <w:sz w:val="22"/>
          <w:szCs w:val="22"/>
        </w:rPr>
        <w:t xml:space="preserve"> first quarter of 2018 </w:t>
      </w:r>
      <w:r w:rsidR="0032081D">
        <w:rPr>
          <w:rFonts w:ascii="BentonSans Book" w:hAnsi="BentonSans Book"/>
          <w:sz w:val="22"/>
          <w:szCs w:val="22"/>
        </w:rPr>
        <w:t xml:space="preserve">to </w:t>
      </w:r>
      <w:r w:rsidR="003F1FBF">
        <w:rPr>
          <w:rFonts w:ascii="BentonSans Book" w:hAnsi="BentonSans Book"/>
          <w:sz w:val="22"/>
          <w:szCs w:val="22"/>
        </w:rPr>
        <w:t>75.8 percent</w:t>
      </w:r>
      <w:r w:rsidR="0032081D">
        <w:rPr>
          <w:rFonts w:ascii="BentonSans Book" w:hAnsi="BentonSans Book"/>
          <w:sz w:val="22"/>
          <w:szCs w:val="22"/>
        </w:rPr>
        <w:t xml:space="preserve"> in </w:t>
      </w:r>
      <w:r w:rsidR="008859F9">
        <w:rPr>
          <w:rFonts w:ascii="BentonSans Book" w:hAnsi="BentonSans Book"/>
          <w:sz w:val="22"/>
          <w:szCs w:val="22"/>
        </w:rPr>
        <w:t xml:space="preserve">the first quarter of 2019 </w:t>
      </w:r>
      <w:r w:rsidR="0032081D">
        <w:rPr>
          <w:rFonts w:ascii="BentonSans Book" w:hAnsi="BentonSans Book"/>
          <w:sz w:val="22"/>
          <w:szCs w:val="22"/>
        </w:rPr>
        <w:t xml:space="preserve">in </w:t>
      </w:r>
      <w:r w:rsidR="001A04E0">
        <w:rPr>
          <w:rFonts w:ascii="BentonSans Book" w:hAnsi="BentonSans Book"/>
          <w:sz w:val="22"/>
          <w:szCs w:val="22"/>
        </w:rPr>
        <w:t>value and</w:t>
      </w:r>
      <w:r w:rsidR="0032081D">
        <w:rPr>
          <w:rFonts w:ascii="BentonSans Book" w:hAnsi="BentonSans Book"/>
          <w:sz w:val="22"/>
          <w:szCs w:val="22"/>
        </w:rPr>
        <w:t xml:space="preserve"> </w:t>
      </w:r>
      <w:r w:rsidR="008859F9">
        <w:rPr>
          <w:rFonts w:ascii="BentonSans Book" w:hAnsi="BentonSans Book"/>
          <w:sz w:val="22"/>
          <w:szCs w:val="22"/>
        </w:rPr>
        <w:t xml:space="preserve">from 78.5 </w:t>
      </w:r>
      <w:r w:rsidR="001A04E0">
        <w:rPr>
          <w:rFonts w:ascii="BentonSans Book" w:hAnsi="BentonSans Book"/>
          <w:sz w:val="22"/>
          <w:szCs w:val="22"/>
        </w:rPr>
        <w:t xml:space="preserve"> </w:t>
      </w:r>
      <w:r w:rsidR="0032081D">
        <w:rPr>
          <w:rFonts w:ascii="BentonSans Book" w:hAnsi="BentonSans Book"/>
          <w:sz w:val="22"/>
          <w:szCs w:val="22"/>
        </w:rPr>
        <w:t xml:space="preserve">percent in </w:t>
      </w:r>
      <w:r w:rsidR="008859F9">
        <w:rPr>
          <w:rFonts w:ascii="BentonSans Book" w:hAnsi="BentonSans Book"/>
          <w:sz w:val="22"/>
          <w:szCs w:val="22"/>
        </w:rPr>
        <w:t>the first quarter of 2018</w:t>
      </w:r>
      <w:r w:rsidR="0032081D">
        <w:rPr>
          <w:rFonts w:ascii="BentonSans Book" w:hAnsi="BentonSans Book"/>
          <w:sz w:val="22"/>
          <w:szCs w:val="22"/>
        </w:rPr>
        <w:t xml:space="preserve"> to </w:t>
      </w:r>
      <w:r w:rsidR="008859F9">
        <w:rPr>
          <w:rFonts w:ascii="BentonSans Book" w:hAnsi="BentonSans Book"/>
          <w:sz w:val="22"/>
          <w:szCs w:val="22"/>
        </w:rPr>
        <w:t xml:space="preserve">83.3 </w:t>
      </w:r>
      <w:r w:rsidR="001A04E0">
        <w:rPr>
          <w:rFonts w:ascii="BentonSans Book" w:hAnsi="BentonSans Book"/>
          <w:sz w:val="22"/>
          <w:szCs w:val="22"/>
        </w:rPr>
        <w:t xml:space="preserve"> </w:t>
      </w:r>
      <w:r w:rsidR="0032081D">
        <w:rPr>
          <w:rFonts w:ascii="BentonSans Book" w:hAnsi="BentonSans Book"/>
          <w:sz w:val="22"/>
          <w:szCs w:val="22"/>
        </w:rPr>
        <w:t xml:space="preserve">percent in </w:t>
      </w:r>
      <w:r w:rsidR="008859F9">
        <w:rPr>
          <w:rFonts w:ascii="BentonSans Book" w:hAnsi="BentonSans Book"/>
          <w:sz w:val="22"/>
          <w:szCs w:val="22"/>
        </w:rPr>
        <w:t>the first quarter of 2019</w:t>
      </w:r>
      <w:r w:rsidR="00201725">
        <w:rPr>
          <w:rFonts w:ascii="BentonSans Book" w:hAnsi="BentonSans Book"/>
          <w:sz w:val="22"/>
          <w:szCs w:val="22"/>
        </w:rPr>
        <w:t xml:space="preserve"> in volume.</w:t>
      </w:r>
      <w:proofErr w:type="gramEnd"/>
    </w:p>
    <w:p w14:paraId="54C35B8D" w14:textId="77777777" w:rsidR="00E75BAA" w:rsidRPr="00B709F4" w:rsidRDefault="00E75BAA" w:rsidP="009D1113">
      <w:pPr>
        <w:pStyle w:val="NormalWeb"/>
        <w:spacing w:before="120" w:after="120" w:line="360" w:lineRule="auto"/>
        <w:rPr>
          <w:rFonts w:ascii="BentonSans Black" w:hAnsi="BentonSans Black"/>
          <w:b/>
          <w:sz w:val="22"/>
          <w:szCs w:val="22"/>
        </w:rPr>
      </w:pPr>
      <w:r w:rsidRPr="00B709F4">
        <w:rPr>
          <w:rFonts w:ascii="BentonSans Black" w:hAnsi="BentonSans Black"/>
          <w:b/>
          <w:sz w:val="22"/>
          <w:szCs w:val="22"/>
        </w:rPr>
        <w:t>Figure 1: New Authorized Loans by Banks</w:t>
      </w:r>
    </w:p>
    <w:p w14:paraId="659C0590" w14:textId="45FD462A" w:rsidR="00E75BAA" w:rsidRPr="002A006E" w:rsidRDefault="002C44F1" w:rsidP="002A006E">
      <w:pPr>
        <w:pStyle w:val="NormalWeb"/>
        <w:spacing w:before="120" w:after="120" w:line="360" w:lineRule="auto"/>
        <w:jc w:val="center"/>
        <w:rPr>
          <w:rFonts w:ascii="BentonSans Book" w:hAnsi="BentonSans Book"/>
          <w:b/>
          <w:color w:val="0070C0"/>
          <w:sz w:val="32"/>
          <w:szCs w:val="22"/>
        </w:rPr>
      </w:pPr>
      <w:r w:rsidRPr="002A006E">
        <w:rPr>
          <w:rFonts w:ascii="BentonSans Book" w:hAnsi="BentonSans Book"/>
          <w:b/>
          <w:noProof/>
          <w:color w:val="0070C0"/>
          <w:sz w:val="32"/>
          <w:szCs w:val="22"/>
        </w:rPr>
        <mc:AlternateContent>
          <mc:Choice Requires="wps">
            <w:drawing>
              <wp:anchor distT="0" distB="0" distL="114300" distR="114300" simplePos="0" relativeHeight="251691008" behindDoc="0" locked="0" layoutInCell="1" allowOverlap="1" wp14:anchorId="0577FD3E" wp14:editId="73F2EFE9">
                <wp:simplePos x="0" y="0"/>
                <wp:positionH relativeFrom="margin">
                  <wp:posOffset>28575</wp:posOffset>
                </wp:positionH>
                <wp:positionV relativeFrom="paragraph">
                  <wp:posOffset>19685</wp:posOffset>
                </wp:positionV>
                <wp:extent cx="6000750" cy="30003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6000750" cy="3000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E1174E" w14:textId="236BECD0" w:rsidR="00E75BAA" w:rsidRDefault="004F397F" w:rsidP="00E75BAA">
                            <w:r w:rsidRPr="008859F9">
                              <w:rPr>
                                <w:noProof/>
                              </w:rPr>
                              <w:drawing>
                                <wp:inline distT="0" distB="0" distL="0" distR="0" wp14:anchorId="06D4F519" wp14:editId="7C6B5D7C">
                                  <wp:extent cx="2914650" cy="28860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E75BAA">
                              <w:t xml:space="preserve">   </w:t>
                            </w:r>
                            <w:r w:rsidR="00594139">
                              <w:t xml:space="preserve"> </w:t>
                            </w:r>
                            <w:r w:rsidR="00E75BAA">
                              <w:t xml:space="preserve"> </w:t>
                            </w:r>
                            <w:r w:rsidRPr="004F397F">
                              <w:rPr>
                                <w:noProof/>
                              </w:rPr>
                              <w:drawing>
                                <wp:inline distT="0" distB="0" distL="0" distR="0" wp14:anchorId="7E68B02A" wp14:editId="5AA0A4CC">
                                  <wp:extent cx="2705100" cy="28765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7FD3E" id="Text Box 1" o:spid="_x0000_s1028" type="#_x0000_t202" style="position:absolute;left:0;text-align:left;margin-left:2.25pt;margin-top:1.55pt;width:472.5pt;height:236.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" fillcolor="white [3201]" strokeweight=".5pt">
                <v:textbox>
                  <w:txbxContent>
                    <w:p w14:paraId="53E1174E" w14:textId="236BECD0" w:rsidR="00E75BAA" w:rsidRDefault="004F397F" w:rsidP="00E75BAA">
                      <w:r w:rsidRPr="008859F9">
                        <w:drawing>
                          <wp:inline distT="0" distB="0" distL="0" distR="0" wp14:anchorId="06D4F519" wp14:editId="7C6B5D7C">
                            <wp:extent cx="2914650" cy="28860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E75BAA">
                        <w:t xml:space="preserve">   </w:t>
                      </w:r>
                      <w:r w:rsidR="00594139">
                        <w:t xml:space="preserve"> </w:t>
                      </w:r>
                      <w:r w:rsidR="00E75BAA">
                        <w:t xml:space="preserve"> </w:t>
                      </w:r>
                      <w:r w:rsidRPr="004F397F">
                        <w:drawing>
                          <wp:inline distT="0" distB="0" distL="0" distR="0" wp14:anchorId="7E68B02A" wp14:editId="5AA0A4CC">
                            <wp:extent cx="2705100" cy="28765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w10:wrap anchorx="margin"/>
              </v:shape>
            </w:pict>
          </mc:Fallback>
        </mc:AlternateContent>
      </w:r>
    </w:p>
    <w:p w14:paraId="2D8E613F" w14:textId="5EB773EA" w:rsidR="00E75BAA" w:rsidRPr="002A006E" w:rsidRDefault="004F397F" w:rsidP="002A006E">
      <w:pPr>
        <w:pStyle w:val="NormalWeb"/>
        <w:spacing w:before="120" w:after="120" w:line="360" w:lineRule="auto"/>
        <w:jc w:val="center"/>
        <w:rPr>
          <w:rFonts w:ascii="BentonSans Book" w:hAnsi="BentonSans Book"/>
          <w:b/>
          <w:color w:val="0070C0"/>
          <w:sz w:val="32"/>
          <w:szCs w:val="22"/>
        </w:rPr>
      </w:pPr>
      <w:r>
        <w:rPr>
          <w:noProof/>
        </w:rPr>
        <mc:AlternateContent>
          <mc:Choice Requires="wps">
            <w:drawing>
              <wp:anchor distT="0" distB="0" distL="114300" distR="114300" simplePos="0" relativeHeight="251702272" behindDoc="0" locked="0" layoutInCell="1" allowOverlap="1" wp14:anchorId="2D73B05F" wp14:editId="180DE630">
                <wp:simplePos x="0" y="0"/>
                <wp:positionH relativeFrom="column">
                  <wp:posOffset>3590924</wp:posOffset>
                </wp:positionH>
                <wp:positionV relativeFrom="paragraph">
                  <wp:posOffset>161290</wp:posOffset>
                </wp:positionV>
                <wp:extent cx="2085975" cy="2171700"/>
                <wp:effectExtent l="0" t="38100" r="47625" b="19050"/>
                <wp:wrapNone/>
                <wp:docPr id="10" name="Straight Arrow Connector 5"/>
                <wp:cNvGraphicFramePr/>
                <a:graphic xmlns:a="http://schemas.openxmlformats.org/drawingml/2006/main">
                  <a:graphicData uri="http://schemas.microsoft.com/office/word/2010/wordprocessingShape">
                    <wps:wsp>
                      <wps:cNvCnPr/>
                      <wps:spPr>
                        <a:xfrm flipV="1">
                          <a:off x="0" y="0"/>
                          <a:ext cx="2085975" cy="2171700"/>
                        </a:xfrm>
                        <a:prstGeom prst="straightConnector1">
                          <a:avLst/>
                        </a:prstGeom>
                        <a:noFill/>
                        <a:ln w="9525" cap="flat" cmpd="sng" algn="ctr">
                          <a:solidFill>
                            <a:sysClr val="windowText" lastClr="000000">
                              <a:lumMod val="95000"/>
                              <a:lumOff val="5000"/>
                            </a:sys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403FC65" id="_x0000_t32" coordsize="21600,21600" o:spt="32" o:oned="t" path="m,l21600,21600e" filled="f">
                <v:path arrowok="t" fillok="f" o:connecttype="none"/>
                <o:lock v:ext="edit" shapetype="t"/>
              </v:shapetype>
              <v:shape id="Straight Arrow Connector 5" o:spid="_x0000_s1026" type="#_x0000_t32" style="position:absolute;margin-left:282.75pt;margin-top:12.7pt;width:164.25pt;height:171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" strokecolor="#0d0d0d">
                <v:stroke dashstyle="dash" endarrow="block"/>
              </v:shape>
            </w:pict>
          </mc:Fallback>
        </mc:AlternateContent>
      </w:r>
    </w:p>
    <w:p w14:paraId="4A3571FF" w14:textId="6CD65852" w:rsidR="00E75BAA" w:rsidRPr="002A006E" w:rsidRDefault="00E75BAA" w:rsidP="002A006E">
      <w:pPr>
        <w:pStyle w:val="NormalWeb"/>
        <w:spacing w:before="120" w:after="120" w:line="360" w:lineRule="auto"/>
        <w:jc w:val="center"/>
        <w:rPr>
          <w:rFonts w:ascii="BentonSans Book" w:hAnsi="BentonSans Book"/>
          <w:b/>
          <w:color w:val="0070C0"/>
          <w:sz w:val="32"/>
          <w:szCs w:val="22"/>
        </w:rPr>
      </w:pPr>
    </w:p>
    <w:p w14:paraId="7F6321BE" w14:textId="6D77136B" w:rsidR="00E75BAA" w:rsidRPr="002A006E" w:rsidRDefault="00E75BAA" w:rsidP="002A006E">
      <w:pPr>
        <w:pStyle w:val="NormalWeb"/>
        <w:spacing w:before="120" w:after="120" w:line="360" w:lineRule="auto"/>
        <w:jc w:val="center"/>
        <w:rPr>
          <w:rFonts w:ascii="BentonSans Book" w:hAnsi="BentonSans Book"/>
          <w:b/>
          <w:color w:val="0070C0"/>
          <w:sz w:val="32"/>
          <w:szCs w:val="22"/>
        </w:rPr>
      </w:pPr>
    </w:p>
    <w:p w14:paraId="19127BA0" w14:textId="1F536E34" w:rsidR="00E75BAA" w:rsidRPr="002A006E" w:rsidRDefault="00E75BAA" w:rsidP="002A006E">
      <w:pPr>
        <w:pStyle w:val="NormalWeb"/>
        <w:spacing w:before="120" w:after="120" w:line="360" w:lineRule="auto"/>
        <w:jc w:val="center"/>
        <w:rPr>
          <w:rFonts w:ascii="BentonSans Book" w:hAnsi="BentonSans Book"/>
          <w:b/>
          <w:color w:val="0070C0"/>
          <w:sz w:val="32"/>
          <w:szCs w:val="22"/>
        </w:rPr>
      </w:pPr>
    </w:p>
    <w:p w14:paraId="751D5781" w14:textId="602BA392" w:rsidR="00594139" w:rsidRDefault="00594139" w:rsidP="009D1113">
      <w:pPr>
        <w:pStyle w:val="NormalWeb"/>
        <w:spacing w:before="120" w:after="120" w:line="360" w:lineRule="auto"/>
        <w:rPr>
          <w:rFonts w:ascii="BentonSans Book" w:hAnsi="BentonSans Book"/>
          <w:b/>
          <w:sz w:val="22"/>
          <w:szCs w:val="22"/>
        </w:rPr>
      </w:pPr>
    </w:p>
    <w:p w14:paraId="01B2DA6A" w14:textId="01C15D9A" w:rsidR="00594139" w:rsidRDefault="00594139" w:rsidP="009D1113">
      <w:pPr>
        <w:pStyle w:val="NormalWeb"/>
        <w:spacing w:before="120" w:after="120" w:line="360" w:lineRule="auto"/>
        <w:rPr>
          <w:rFonts w:ascii="BentonSans Book" w:hAnsi="BentonSans Book"/>
          <w:b/>
          <w:sz w:val="22"/>
          <w:szCs w:val="22"/>
        </w:rPr>
      </w:pPr>
    </w:p>
    <w:p w14:paraId="364BB3EF" w14:textId="657A7724" w:rsidR="004F397F" w:rsidRDefault="004F397F" w:rsidP="009D1113">
      <w:pPr>
        <w:pStyle w:val="NormalWeb"/>
        <w:spacing w:before="120" w:after="120" w:line="360" w:lineRule="auto"/>
        <w:rPr>
          <w:rFonts w:ascii="BentonSans Book" w:hAnsi="BentonSans Book"/>
          <w:b/>
          <w:sz w:val="22"/>
          <w:szCs w:val="22"/>
        </w:rPr>
      </w:pPr>
    </w:p>
    <w:p w14:paraId="3AC6CC90" w14:textId="4CEF1211" w:rsidR="00E75BAA" w:rsidRPr="009D1113" w:rsidRDefault="00E75BAA" w:rsidP="009D1113">
      <w:pPr>
        <w:pStyle w:val="NormalWeb"/>
        <w:spacing w:before="120" w:after="120" w:line="360" w:lineRule="auto"/>
        <w:rPr>
          <w:rFonts w:ascii="BentonSans Book" w:hAnsi="BentonSans Book"/>
          <w:sz w:val="22"/>
          <w:szCs w:val="22"/>
        </w:rPr>
      </w:pPr>
      <w:r w:rsidRPr="009D1113">
        <w:rPr>
          <w:rFonts w:ascii="BentonSans Book" w:hAnsi="BentonSans Book"/>
          <w:b/>
          <w:sz w:val="22"/>
          <w:szCs w:val="22"/>
        </w:rPr>
        <w:t>Source:</w:t>
      </w:r>
      <w:r w:rsidRPr="009D1113">
        <w:rPr>
          <w:rFonts w:ascii="BentonSans Book" w:hAnsi="BentonSans Book"/>
          <w:sz w:val="22"/>
          <w:szCs w:val="22"/>
        </w:rPr>
        <w:t xml:space="preserve"> Credit Survey Findings</w:t>
      </w:r>
    </w:p>
    <w:p w14:paraId="7478AC66" w14:textId="7A70C0B8" w:rsidR="00A05304" w:rsidRDefault="00201725" w:rsidP="00870E7F">
      <w:pPr>
        <w:pStyle w:val="NormalWeb"/>
        <w:spacing w:before="120" w:after="120" w:line="276" w:lineRule="auto"/>
        <w:jc w:val="both"/>
        <w:rPr>
          <w:rFonts w:ascii="BentonSans Book" w:hAnsi="BentonSans Book"/>
          <w:sz w:val="22"/>
          <w:szCs w:val="22"/>
        </w:rPr>
      </w:pPr>
      <w:r>
        <w:rPr>
          <w:rFonts w:ascii="BentonSans Book" w:hAnsi="BentonSans Book"/>
          <w:sz w:val="22"/>
          <w:szCs w:val="22"/>
        </w:rPr>
        <w:t xml:space="preserve">The financing of </w:t>
      </w:r>
      <w:r w:rsidR="00BA2B01">
        <w:rPr>
          <w:rFonts w:ascii="BentonSans Book" w:hAnsi="BentonSans Book"/>
          <w:sz w:val="22"/>
          <w:szCs w:val="22"/>
        </w:rPr>
        <w:t>manufacturing</w:t>
      </w:r>
      <w:r>
        <w:rPr>
          <w:rFonts w:ascii="BentonSans Book" w:hAnsi="BentonSans Book"/>
          <w:sz w:val="22"/>
          <w:szCs w:val="22"/>
        </w:rPr>
        <w:t xml:space="preserve"> sector improved during the period under review.  New loans in </w:t>
      </w:r>
      <w:r w:rsidR="00BA2B01">
        <w:rPr>
          <w:rFonts w:ascii="BentonSans Book" w:hAnsi="BentonSans Book"/>
          <w:sz w:val="22"/>
          <w:szCs w:val="22"/>
        </w:rPr>
        <w:t>manufacturing</w:t>
      </w:r>
      <w:r>
        <w:rPr>
          <w:rFonts w:ascii="BentonSans Book" w:hAnsi="BentonSans Book"/>
          <w:sz w:val="22"/>
          <w:szCs w:val="22"/>
        </w:rPr>
        <w:t xml:space="preserve"> </w:t>
      </w:r>
      <w:r w:rsidR="00BA2B01">
        <w:rPr>
          <w:rFonts w:ascii="BentonSans Book" w:hAnsi="BentonSans Book"/>
          <w:sz w:val="22"/>
          <w:szCs w:val="22"/>
        </w:rPr>
        <w:t>sector</w:t>
      </w:r>
      <w:r>
        <w:rPr>
          <w:rFonts w:ascii="BentonSans Book" w:hAnsi="BentonSans Book"/>
          <w:sz w:val="22"/>
          <w:szCs w:val="22"/>
        </w:rPr>
        <w:t xml:space="preserve"> </w:t>
      </w:r>
      <w:r w:rsidR="00BA2B01">
        <w:rPr>
          <w:rFonts w:ascii="BentonSans Book" w:hAnsi="BentonSans Book"/>
          <w:sz w:val="22"/>
          <w:szCs w:val="22"/>
        </w:rPr>
        <w:t xml:space="preserve">increased by 195.6 percent to FRW 30.5 billion in the first quarter of 2019 from FRW 10.3 </w:t>
      </w:r>
      <w:proofErr w:type="gramStart"/>
      <w:r>
        <w:rPr>
          <w:rFonts w:ascii="BentonSans Book" w:hAnsi="BentonSans Book"/>
          <w:sz w:val="22"/>
          <w:szCs w:val="22"/>
        </w:rPr>
        <w:t>billion</w:t>
      </w:r>
      <w:proofErr w:type="gramEnd"/>
      <w:r>
        <w:rPr>
          <w:rFonts w:ascii="BentonSans Book" w:hAnsi="BentonSans Book"/>
          <w:sz w:val="22"/>
          <w:szCs w:val="22"/>
        </w:rPr>
        <w:t xml:space="preserve"> in</w:t>
      </w:r>
      <w:r w:rsidR="00BA2B01">
        <w:rPr>
          <w:rFonts w:ascii="BentonSans Book" w:hAnsi="BentonSans Book"/>
          <w:sz w:val="22"/>
          <w:szCs w:val="22"/>
        </w:rPr>
        <w:t xml:space="preserve"> the first quarter 2018. T</w:t>
      </w:r>
      <w:r w:rsidRPr="009D1113">
        <w:rPr>
          <w:rFonts w:ascii="BentonSans Book" w:hAnsi="BentonSans Book"/>
          <w:sz w:val="22"/>
          <w:szCs w:val="22"/>
        </w:rPr>
        <w:t xml:space="preserve">he growth of new loans </w:t>
      </w:r>
      <w:r>
        <w:rPr>
          <w:rFonts w:ascii="BentonSans Book" w:hAnsi="BentonSans Book"/>
          <w:sz w:val="22"/>
          <w:szCs w:val="22"/>
        </w:rPr>
        <w:t xml:space="preserve">also </w:t>
      </w:r>
      <w:r w:rsidRPr="009D1113">
        <w:rPr>
          <w:rFonts w:ascii="BentonSans Book" w:hAnsi="BentonSans Book"/>
          <w:sz w:val="22"/>
          <w:szCs w:val="22"/>
        </w:rPr>
        <w:t>improve</w:t>
      </w:r>
      <w:r w:rsidR="00BA2B01">
        <w:rPr>
          <w:rFonts w:ascii="BentonSans Book" w:hAnsi="BentonSans Book"/>
          <w:sz w:val="22"/>
          <w:szCs w:val="22"/>
        </w:rPr>
        <w:t>d for consumer loans (from 7.8 percent to 34.9</w:t>
      </w:r>
      <w:r>
        <w:rPr>
          <w:rFonts w:ascii="BentonSans Book" w:hAnsi="BentonSans Book"/>
          <w:sz w:val="22"/>
          <w:szCs w:val="22"/>
        </w:rPr>
        <w:t xml:space="preserve"> </w:t>
      </w:r>
      <w:r w:rsidRPr="009D1113">
        <w:rPr>
          <w:rFonts w:ascii="BentonSans Book" w:hAnsi="BentonSans Book"/>
          <w:sz w:val="22"/>
          <w:szCs w:val="22"/>
        </w:rPr>
        <w:t>p</w:t>
      </w:r>
      <w:r w:rsidR="00BA2B01">
        <w:rPr>
          <w:rFonts w:ascii="BentonSans Book" w:hAnsi="BentonSans Book"/>
          <w:sz w:val="22"/>
          <w:szCs w:val="22"/>
        </w:rPr>
        <w:t>ercent), agriculture (from -1.0 percent to 6.6</w:t>
      </w:r>
      <w:r w:rsidRPr="009D1113">
        <w:rPr>
          <w:rFonts w:ascii="BentonSans Book" w:hAnsi="BentonSans Book"/>
          <w:sz w:val="22"/>
          <w:szCs w:val="22"/>
        </w:rPr>
        <w:t xml:space="preserve"> pe</w:t>
      </w:r>
      <w:r w:rsidR="00BA2B01">
        <w:rPr>
          <w:rFonts w:ascii="BentonSans Book" w:hAnsi="BentonSans Book"/>
          <w:sz w:val="22"/>
          <w:szCs w:val="22"/>
        </w:rPr>
        <w:t>rcent), mining (from -93.6 percent to 77</w:t>
      </w:r>
      <w:r w:rsidRPr="009D1113">
        <w:rPr>
          <w:rFonts w:ascii="BentonSans Book" w:hAnsi="BentonSans Book"/>
          <w:sz w:val="22"/>
          <w:szCs w:val="22"/>
        </w:rPr>
        <w:t xml:space="preserve"> percent)</w:t>
      </w:r>
      <w:r>
        <w:rPr>
          <w:rFonts w:ascii="BentonSans Book" w:hAnsi="BentonSans Book"/>
          <w:sz w:val="22"/>
          <w:szCs w:val="22"/>
        </w:rPr>
        <w:t xml:space="preserve">, </w:t>
      </w:r>
      <w:r w:rsidR="00BA2B01">
        <w:rPr>
          <w:rFonts w:ascii="BentonSans Book" w:hAnsi="BentonSans Book"/>
          <w:sz w:val="22"/>
          <w:szCs w:val="22"/>
        </w:rPr>
        <w:t>energy</w:t>
      </w:r>
      <w:r w:rsidR="00BA2B01" w:rsidRPr="00BA2B01">
        <w:rPr>
          <w:rFonts w:ascii="BentonSans Book" w:hAnsi="BentonSans Book"/>
          <w:sz w:val="22"/>
          <w:szCs w:val="22"/>
        </w:rPr>
        <w:t xml:space="preserve"> </w:t>
      </w:r>
      <w:r w:rsidR="00BA2B01">
        <w:rPr>
          <w:rFonts w:ascii="BentonSans Book" w:hAnsi="BentonSans Book"/>
          <w:sz w:val="22"/>
          <w:szCs w:val="22"/>
        </w:rPr>
        <w:t>(from -97.7 percent to 10</w:t>
      </w:r>
      <w:r w:rsidR="00A05304">
        <w:rPr>
          <w:rFonts w:ascii="BentonSans Book" w:hAnsi="BentonSans Book"/>
          <w:sz w:val="22"/>
          <w:szCs w:val="22"/>
        </w:rPr>
        <w:t>,</w:t>
      </w:r>
      <w:r w:rsidR="000A22DC">
        <w:rPr>
          <w:rFonts w:ascii="BentonSans Book" w:hAnsi="BentonSans Book"/>
          <w:sz w:val="22"/>
          <w:szCs w:val="22"/>
        </w:rPr>
        <w:t>054.7</w:t>
      </w:r>
      <w:r w:rsidR="00F61693">
        <w:rPr>
          <w:rFonts w:ascii="BentonSans Book" w:hAnsi="BentonSans Book"/>
          <w:sz w:val="22"/>
          <w:szCs w:val="22"/>
        </w:rPr>
        <w:t xml:space="preserve"> percent),</w:t>
      </w:r>
      <w:r w:rsidR="00A05304">
        <w:rPr>
          <w:rFonts w:ascii="BentonSans Book" w:hAnsi="BentonSans Book"/>
          <w:sz w:val="22"/>
          <w:szCs w:val="22"/>
        </w:rPr>
        <w:t xml:space="preserve"> hotels </w:t>
      </w:r>
      <w:r>
        <w:rPr>
          <w:rFonts w:ascii="BentonSans Book" w:hAnsi="BentonSans Book"/>
          <w:sz w:val="22"/>
          <w:szCs w:val="22"/>
        </w:rPr>
        <w:t xml:space="preserve">(from </w:t>
      </w:r>
      <w:r w:rsidR="00A05304">
        <w:rPr>
          <w:rFonts w:ascii="BentonSans Book" w:hAnsi="BentonSans Book"/>
          <w:sz w:val="22"/>
          <w:szCs w:val="22"/>
        </w:rPr>
        <w:t>-</w:t>
      </w:r>
      <w:r>
        <w:rPr>
          <w:rFonts w:ascii="BentonSans Book" w:hAnsi="BentonSans Book"/>
          <w:sz w:val="22"/>
          <w:szCs w:val="22"/>
        </w:rPr>
        <w:t>8</w:t>
      </w:r>
      <w:r w:rsidR="00A05304">
        <w:rPr>
          <w:rFonts w:ascii="BentonSans Book" w:hAnsi="BentonSans Book"/>
          <w:sz w:val="22"/>
          <w:szCs w:val="22"/>
        </w:rPr>
        <w:t>0.2 percent to 1,362.8</w:t>
      </w:r>
      <w:r>
        <w:rPr>
          <w:rFonts w:ascii="BentonSans Book" w:hAnsi="BentonSans Book"/>
          <w:sz w:val="22"/>
          <w:szCs w:val="22"/>
        </w:rPr>
        <w:t xml:space="preserve"> per</w:t>
      </w:r>
      <w:r w:rsidR="00F61693">
        <w:rPr>
          <w:rFonts w:ascii="BentonSans Book" w:hAnsi="BentonSans Book"/>
          <w:sz w:val="22"/>
          <w:szCs w:val="22"/>
        </w:rPr>
        <w:t>cent) and mortgage (from -7.6 percent to 1.7 percent).</w:t>
      </w:r>
    </w:p>
    <w:p w14:paraId="00448815" w14:textId="26DC3AC7" w:rsidR="0007204F" w:rsidRPr="00870E7F" w:rsidRDefault="00201725" w:rsidP="00870E7F">
      <w:pPr>
        <w:pStyle w:val="NormalWeb"/>
        <w:spacing w:before="120" w:after="120" w:line="276" w:lineRule="auto"/>
        <w:jc w:val="both"/>
        <w:rPr>
          <w:rFonts w:ascii="BentonSans Book" w:hAnsi="BentonSans Book"/>
          <w:sz w:val="22"/>
          <w:szCs w:val="22"/>
        </w:rPr>
      </w:pPr>
      <w:r>
        <w:rPr>
          <w:rFonts w:ascii="BentonSans Book" w:hAnsi="BentonSans Book"/>
          <w:sz w:val="22"/>
          <w:szCs w:val="22"/>
        </w:rPr>
        <w:t>Unl</w:t>
      </w:r>
      <w:r w:rsidR="009B3642">
        <w:rPr>
          <w:rFonts w:ascii="BentonSans Book" w:hAnsi="BentonSans Book"/>
          <w:sz w:val="22"/>
          <w:szCs w:val="22"/>
        </w:rPr>
        <w:t xml:space="preserve">ike </w:t>
      </w:r>
      <w:r w:rsidR="006A1D4E">
        <w:rPr>
          <w:rFonts w:ascii="BentonSans Book" w:hAnsi="BentonSans Book"/>
          <w:sz w:val="22"/>
          <w:szCs w:val="22"/>
        </w:rPr>
        <w:t xml:space="preserve">in the previous year, the </w:t>
      </w:r>
      <w:r w:rsidR="00AF6467">
        <w:rPr>
          <w:rFonts w:ascii="BentonSans Book" w:hAnsi="BentonSans Book"/>
          <w:sz w:val="22"/>
          <w:szCs w:val="22"/>
        </w:rPr>
        <w:t>financing of transport and</w:t>
      </w:r>
      <w:r w:rsidR="006A1D4E">
        <w:rPr>
          <w:rFonts w:ascii="BentonSans Book" w:hAnsi="BentonSans Book"/>
          <w:sz w:val="22"/>
          <w:szCs w:val="22"/>
        </w:rPr>
        <w:t xml:space="preserve"> communication sector</w:t>
      </w:r>
      <w:r w:rsidR="00F61693">
        <w:rPr>
          <w:rFonts w:ascii="BentonSans Book" w:hAnsi="BentonSans Book"/>
          <w:sz w:val="22"/>
          <w:szCs w:val="22"/>
        </w:rPr>
        <w:t xml:space="preserve"> shrunk. </w:t>
      </w:r>
      <w:r w:rsidR="00794999">
        <w:rPr>
          <w:rFonts w:ascii="BentonSans Book" w:hAnsi="BentonSans Book"/>
          <w:sz w:val="22"/>
          <w:szCs w:val="22"/>
        </w:rPr>
        <w:t>New loans</w:t>
      </w:r>
      <w:r w:rsidR="009A71DA">
        <w:rPr>
          <w:rFonts w:ascii="BentonSans Book" w:hAnsi="BentonSans Book"/>
          <w:sz w:val="22"/>
          <w:szCs w:val="22"/>
        </w:rPr>
        <w:t xml:space="preserve"> </w:t>
      </w:r>
      <w:r w:rsidR="00794999">
        <w:rPr>
          <w:rFonts w:ascii="BentonSans Book" w:hAnsi="BentonSans Book"/>
          <w:sz w:val="22"/>
          <w:szCs w:val="22"/>
        </w:rPr>
        <w:t>in transport and</w:t>
      </w:r>
      <w:r w:rsidR="00F61693">
        <w:rPr>
          <w:rFonts w:ascii="BentonSans Book" w:hAnsi="BentonSans Book"/>
          <w:sz w:val="22"/>
          <w:szCs w:val="22"/>
        </w:rPr>
        <w:t xml:space="preserve"> communication reduced by</w:t>
      </w:r>
      <w:r w:rsidR="009A71DA">
        <w:rPr>
          <w:rFonts w:ascii="BentonSans Book" w:hAnsi="BentonSans Book"/>
          <w:sz w:val="22"/>
          <w:szCs w:val="22"/>
        </w:rPr>
        <w:t xml:space="preserve"> 31.5 percent (to FRW 22.6</w:t>
      </w:r>
      <w:r w:rsidR="00794999">
        <w:rPr>
          <w:rFonts w:ascii="BentonSans Book" w:hAnsi="BentonSans Book"/>
          <w:sz w:val="22"/>
          <w:szCs w:val="22"/>
        </w:rPr>
        <w:t xml:space="preserve"> billion in the </w:t>
      </w:r>
      <w:r w:rsidR="009A71DA">
        <w:rPr>
          <w:rFonts w:ascii="BentonSans Book" w:hAnsi="BentonSans Book"/>
          <w:sz w:val="22"/>
          <w:szCs w:val="22"/>
        </w:rPr>
        <w:t>first</w:t>
      </w:r>
      <w:r w:rsidR="00794999">
        <w:rPr>
          <w:rFonts w:ascii="BentonSans Book" w:hAnsi="BentonSans Book"/>
          <w:sz w:val="22"/>
          <w:szCs w:val="22"/>
        </w:rPr>
        <w:t xml:space="preserve"> quarter of 201</w:t>
      </w:r>
      <w:r w:rsidR="009A71DA">
        <w:rPr>
          <w:rFonts w:ascii="BentonSans Book" w:hAnsi="BentonSans Book"/>
          <w:sz w:val="22"/>
          <w:szCs w:val="22"/>
        </w:rPr>
        <w:t xml:space="preserve">9 from FRW 32.9 billion in the first quarter of 2018), after they had grown by 67.6 percent in the first quarter of 2018.  </w:t>
      </w:r>
      <w:r w:rsidR="00F61693">
        <w:rPr>
          <w:rFonts w:ascii="BentonSans Book" w:hAnsi="BentonSans Book"/>
          <w:sz w:val="22"/>
          <w:szCs w:val="22"/>
        </w:rPr>
        <w:t xml:space="preserve"> </w:t>
      </w:r>
      <w:r w:rsidR="00100101">
        <w:rPr>
          <w:rFonts w:ascii="BentonSans Book" w:hAnsi="BentonSans Book"/>
          <w:sz w:val="22"/>
          <w:szCs w:val="22"/>
        </w:rPr>
        <w:t xml:space="preserve">The reduction of new loans in transport and communication sector </w:t>
      </w:r>
      <w:proofErr w:type="gramStart"/>
      <w:r w:rsidR="00100101">
        <w:rPr>
          <w:rFonts w:ascii="BentonSans Book" w:hAnsi="BentonSans Book"/>
          <w:sz w:val="22"/>
          <w:szCs w:val="22"/>
        </w:rPr>
        <w:t>is linked</w:t>
      </w:r>
      <w:proofErr w:type="gramEnd"/>
      <w:r w:rsidR="00100101">
        <w:rPr>
          <w:rFonts w:ascii="BentonSans Book" w:hAnsi="BentonSans Book"/>
          <w:sz w:val="22"/>
          <w:szCs w:val="22"/>
        </w:rPr>
        <w:t xml:space="preserve"> to the deterioration of assets quality in this sector. </w:t>
      </w:r>
      <w:r w:rsidR="009A71DA">
        <w:rPr>
          <w:rFonts w:ascii="BentonSans Book" w:hAnsi="BentonSans Book"/>
          <w:sz w:val="22"/>
          <w:szCs w:val="22"/>
        </w:rPr>
        <w:t>Lending also</w:t>
      </w:r>
      <w:r>
        <w:rPr>
          <w:rFonts w:ascii="BentonSans Book" w:hAnsi="BentonSans Book"/>
          <w:sz w:val="22"/>
          <w:szCs w:val="22"/>
        </w:rPr>
        <w:t xml:space="preserve"> </w:t>
      </w:r>
      <w:r w:rsidR="00F61693">
        <w:rPr>
          <w:rFonts w:ascii="BentonSans Book" w:hAnsi="BentonSans Book"/>
          <w:sz w:val="22"/>
          <w:szCs w:val="22"/>
        </w:rPr>
        <w:t xml:space="preserve">moderated </w:t>
      </w:r>
      <w:r w:rsidR="000E5BAD">
        <w:rPr>
          <w:rFonts w:ascii="BentonSans Book" w:hAnsi="BentonSans Book"/>
          <w:sz w:val="22"/>
          <w:szCs w:val="22"/>
        </w:rPr>
        <w:t>in</w:t>
      </w:r>
      <w:r w:rsidR="00931CDF">
        <w:rPr>
          <w:rFonts w:ascii="BentonSans Book" w:hAnsi="BentonSans Book"/>
          <w:sz w:val="22"/>
          <w:szCs w:val="22"/>
        </w:rPr>
        <w:t xml:space="preserve"> </w:t>
      </w:r>
      <w:r w:rsidR="00564B48">
        <w:rPr>
          <w:rFonts w:ascii="BentonSans Book" w:hAnsi="BentonSans Book"/>
          <w:sz w:val="22"/>
          <w:szCs w:val="22"/>
        </w:rPr>
        <w:t>trade and other services</w:t>
      </w:r>
      <w:r w:rsidR="00564B48">
        <w:rPr>
          <w:rStyle w:val="FootnoteReference"/>
          <w:rFonts w:ascii="BentonSans Book" w:hAnsi="BentonSans Book"/>
          <w:sz w:val="22"/>
          <w:szCs w:val="22"/>
        </w:rPr>
        <w:footnoteReference w:id="2"/>
      </w:r>
      <w:r w:rsidR="00564B48">
        <w:rPr>
          <w:rFonts w:ascii="BentonSans Book" w:hAnsi="BentonSans Book"/>
          <w:sz w:val="22"/>
          <w:szCs w:val="22"/>
        </w:rPr>
        <w:t xml:space="preserve">. New loans in trade sector declined by 1.4 percent in the first quarter of 2019, in addition to a contraction of 20.8 percent observed in the first quarter of 2018. New loans in other services contracted to 2.6 percent in the first quarter of 2018 from a growth of 66.6 percent in the first quarter of 2018. </w:t>
      </w:r>
      <w:r w:rsidR="000B3195">
        <w:rPr>
          <w:rFonts w:ascii="BentonSans Book" w:hAnsi="BentonSans Book"/>
          <w:sz w:val="22"/>
          <w:szCs w:val="22"/>
        </w:rPr>
        <w:t>The deceleratio</w:t>
      </w:r>
      <w:r w:rsidR="009142CA">
        <w:rPr>
          <w:rFonts w:ascii="BentonSans Book" w:hAnsi="BentonSans Book"/>
          <w:sz w:val="22"/>
          <w:szCs w:val="22"/>
        </w:rPr>
        <w:t xml:space="preserve">n of new loans mainly reflects </w:t>
      </w:r>
      <w:r w:rsidR="0007204F">
        <w:rPr>
          <w:rFonts w:ascii="BentonSans Book" w:hAnsi="BentonSans Book"/>
          <w:sz w:val="22"/>
          <w:szCs w:val="22"/>
        </w:rPr>
        <w:t xml:space="preserve">the </w:t>
      </w:r>
      <w:r w:rsidR="0007204F">
        <w:rPr>
          <w:rFonts w:ascii="BentonSans Book" w:hAnsi="BentonSans Book"/>
          <w:sz w:val="22"/>
          <w:szCs w:val="22"/>
        </w:rPr>
        <w:lastRenderedPageBreak/>
        <w:t xml:space="preserve">slowdown of credit demand in transport and communication sector and the perception of </w:t>
      </w:r>
      <w:r w:rsidR="009142CA">
        <w:rPr>
          <w:rFonts w:ascii="BentonSans Book" w:hAnsi="BentonSans Book"/>
          <w:sz w:val="22"/>
          <w:szCs w:val="22"/>
        </w:rPr>
        <w:t xml:space="preserve">risks by banks in trade sector </w:t>
      </w:r>
      <w:r w:rsidR="0007204F">
        <w:rPr>
          <w:rFonts w:ascii="BentonSans Book" w:hAnsi="BentonSans Book"/>
          <w:sz w:val="22"/>
          <w:szCs w:val="22"/>
        </w:rPr>
        <w:t>given unsatisfactory performance of existing portfolio.</w:t>
      </w:r>
      <w:r w:rsidR="00F61693" w:rsidRPr="00F61693">
        <w:rPr>
          <w:rFonts w:ascii="BentonSans Book" w:hAnsi="BentonSans Book"/>
          <w:sz w:val="22"/>
          <w:szCs w:val="22"/>
        </w:rPr>
        <w:t xml:space="preserve"> </w:t>
      </w:r>
      <w:r w:rsidR="0007204F">
        <w:rPr>
          <w:rFonts w:ascii="BentonSans Book" w:hAnsi="BentonSans Book"/>
          <w:sz w:val="22"/>
          <w:szCs w:val="22"/>
        </w:rPr>
        <w:t xml:space="preserve"> In this regard, the rejection rate</w:t>
      </w:r>
      <w:r w:rsidR="0007204F">
        <w:rPr>
          <w:rStyle w:val="FootnoteReference"/>
          <w:rFonts w:ascii="BentonSans Book" w:hAnsi="BentonSans Book"/>
          <w:sz w:val="22"/>
          <w:szCs w:val="22"/>
        </w:rPr>
        <w:footnoteReference w:id="3"/>
      </w:r>
      <w:r w:rsidR="0007204F">
        <w:rPr>
          <w:rFonts w:ascii="BentonSans Book" w:hAnsi="BentonSans Book"/>
          <w:sz w:val="22"/>
          <w:szCs w:val="22"/>
        </w:rPr>
        <w:t xml:space="preserve"> in trade sector increased to 31.9 percent in in the first quarter of 2019 from 23.3 percent in the first quarter of 2018. </w:t>
      </w:r>
    </w:p>
    <w:p w14:paraId="651FD407" w14:textId="06379F4E" w:rsidR="00594139" w:rsidRPr="00B709F4" w:rsidRDefault="00A27F01" w:rsidP="009D1113">
      <w:pPr>
        <w:pStyle w:val="NormalWeb"/>
        <w:spacing w:before="120" w:after="120" w:line="360" w:lineRule="auto"/>
        <w:rPr>
          <w:rFonts w:ascii="BentonSans Black" w:hAnsi="BentonSans Black"/>
          <w:b/>
          <w:sz w:val="22"/>
          <w:szCs w:val="22"/>
        </w:rPr>
      </w:pPr>
      <w:r w:rsidRPr="00B709F4">
        <w:rPr>
          <w:rFonts w:ascii="BentonSans Black" w:hAnsi="BentonSans Black"/>
          <w:b/>
          <w:sz w:val="22"/>
          <w:szCs w:val="22"/>
        </w:rPr>
        <w:t xml:space="preserve">Table </w:t>
      </w:r>
      <w:r w:rsidR="00ED0A01" w:rsidRPr="00B709F4">
        <w:rPr>
          <w:rFonts w:ascii="BentonSans Black" w:hAnsi="BentonSans Black"/>
          <w:b/>
          <w:sz w:val="22"/>
          <w:szCs w:val="22"/>
        </w:rPr>
        <w:t>1</w:t>
      </w:r>
      <w:r w:rsidR="00CC06F0" w:rsidRPr="00B709F4">
        <w:rPr>
          <w:rFonts w:ascii="BentonSans Black" w:hAnsi="BentonSans Black"/>
          <w:b/>
          <w:sz w:val="22"/>
          <w:szCs w:val="22"/>
        </w:rPr>
        <w:t>: New Authorized Loans by</w:t>
      </w:r>
      <w:r w:rsidR="00915396" w:rsidRPr="00B709F4">
        <w:rPr>
          <w:rFonts w:ascii="BentonSans Black" w:hAnsi="BentonSans Black"/>
          <w:b/>
          <w:sz w:val="22"/>
          <w:szCs w:val="22"/>
        </w:rPr>
        <w:t xml:space="preserve"> Activity Sector</w:t>
      </w:r>
    </w:p>
    <w:p w14:paraId="66EB3A91" w14:textId="7384BAB2" w:rsidR="00E56EBD" w:rsidRPr="00870E7F" w:rsidRDefault="00E56EBD" w:rsidP="000C4424">
      <w:pPr>
        <w:pStyle w:val="NormalWeb"/>
        <w:spacing w:before="120" w:after="120" w:line="360" w:lineRule="auto"/>
        <w:rPr>
          <w:rFonts w:ascii="BentonSans Book" w:hAnsi="BentonSans Book"/>
          <w:b/>
          <w:sz w:val="22"/>
          <w:szCs w:val="22"/>
        </w:rPr>
      </w:pPr>
      <w:r>
        <w:rPr>
          <w:rFonts w:ascii="BentonSans Book" w:hAnsi="BentonSans Book"/>
          <w:b/>
          <w:noProof/>
          <w:sz w:val="22"/>
          <w:szCs w:val="22"/>
        </w:rPr>
        <w:drawing>
          <wp:inline distT="0" distB="0" distL="0" distR="0" wp14:anchorId="39640ABF" wp14:editId="18455CE9">
            <wp:extent cx="6057900" cy="2952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7900" cy="2952750"/>
                    </a:xfrm>
                    <a:prstGeom prst="rect">
                      <a:avLst/>
                    </a:prstGeom>
                    <a:noFill/>
                  </pic:spPr>
                </pic:pic>
              </a:graphicData>
            </a:graphic>
          </wp:inline>
        </w:drawing>
      </w:r>
      <w:r w:rsidR="00915396" w:rsidRPr="009D1113">
        <w:rPr>
          <w:rFonts w:ascii="BentonSans Book" w:hAnsi="BentonSans Book"/>
          <w:b/>
          <w:sz w:val="22"/>
          <w:szCs w:val="22"/>
        </w:rPr>
        <w:t>Source:</w:t>
      </w:r>
      <w:r w:rsidR="00915396" w:rsidRPr="009D1113">
        <w:rPr>
          <w:rFonts w:ascii="BentonSans Book" w:hAnsi="BentonSans Book"/>
          <w:sz w:val="22"/>
          <w:szCs w:val="22"/>
        </w:rPr>
        <w:t xml:space="preserve"> Credit Survey Findings</w:t>
      </w:r>
      <w:r w:rsidR="000C4424" w:rsidRPr="000C4424">
        <w:t xml:space="preserve"> </w:t>
      </w:r>
    </w:p>
    <w:p w14:paraId="19E3D4A1" w14:textId="215F7A80" w:rsidR="000C4424" w:rsidRPr="00B709F4" w:rsidRDefault="00ED0A01" w:rsidP="00870E7F">
      <w:pPr>
        <w:pStyle w:val="NormalWeb"/>
        <w:spacing w:before="120" w:after="120" w:line="276" w:lineRule="auto"/>
        <w:rPr>
          <w:rFonts w:ascii="BentonSans Black" w:hAnsi="BentonSans Black"/>
          <w:b/>
          <w:sz w:val="22"/>
          <w:szCs w:val="22"/>
        </w:rPr>
      </w:pPr>
      <w:r w:rsidRPr="00B709F4">
        <w:rPr>
          <w:rFonts w:ascii="BentonSans Black" w:hAnsi="BentonSans Black"/>
          <w:b/>
          <w:sz w:val="22"/>
          <w:szCs w:val="22"/>
        </w:rPr>
        <w:t xml:space="preserve">2.2 </w:t>
      </w:r>
      <w:r w:rsidR="000C4424" w:rsidRPr="00B709F4">
        <w:rPr>
          <w:rFonts w:ascii="BentonSans Black" w:hAnsi="BentonSans Black"/>
          <w:b/>
          <w:sz w:val="22"/>
          <w:szCs w:val="22"/>
        </w:rPr>
        <w:t>Development in Non-Performing Loans</w:t>
      </w:r>
    </w:p>
    <w:p w14:paraId="4AFAA704" w14:textId="52BB63B0" w:rsidR="00B82D72" w:rsidRPr="00870E7F" w:rsidRDefault="00D32173" w:rsidP="00870E7F">
      <w:pPr>
        <w:spacing w:line="276" w:lineRule="auto"/>
        <w:jc w:val="both"/>
        <w:rPr>
          <w:rFonts w:ascii="BentonSans Book" w:eastAsia="Times New Roman" w:hAnsi="BentonSans Book" w:cs="Times New Roman"/>
          <w:color w:val="C00000"/>
        </w:rPr>
      </w:pPr>
      <w:r w:rsidRPr="007E7AF8">
        <w:rPr>
          <w:rFonts w:ascii="BentonSans Book" w:eastAsia="Times New Roman" w:hAnsi="BentonSans Book" w:cs="Times New Roman"/>
        </w:rPr>
        <w:t xml:space="preserve">Overall, the </w:t>
      </w:r>
      <w:r w:rsidR="00E56EBD" w:rsidRPr="007E7AF8">
        <w:rPr>
          <w:rFonts w:ascii="BentonSans Book" w:eastAsia="Times New Roman" w:hAnsi="BentonSans Book" w:cs="Times New Roman"/>
        </w:rPr>
        <w:t>non-performing</w:t>
      </w:r>
      <w:r w:rsidRPr="007E7AF8">
        <w:rPr>
          <w:rFonts w:ascii="BentonSans Book" w:eastAsia="Times New Roman" w:hAnsi="BentonSans Book" w:cs="Times New Roman"/>
        </w:rPr>
        <w:t xml:space="preserve"> loans ratio in banks remained stable standing at 6.8 percent as at end March 2019. </w:t>
      </w:r>
      <w:r w:rsidR="00E56EBD" w:rsidRPr="007E7AF8">
        <w:rPr>
          <w:rFonts w:ascii="BentonSans Book" w:eastAsia="Times New Roman" w:hAnsi="BentonSans Book" w:cs="Times New Roman"/>
        </w:rPr>
        <w:t xml:space="preserve"> </w:t>
      </w:r>
      <w:r w:rsidR="006C196B" w:rsidRPr="007E7AF8">
        <w:rPr>
          <w:rFonts w:ascii="BentonSans Book" w:eastAsia="Times New Roman" w:hAnsi="BentonSans Book" w:cs="Times New Roman"/>
        </w:rPr>
        <w:t xml:space="preserve"> From a sectoral perspective, </w:t>
      </w:r>
      <w:r w:rsidR="007E7AF8">
        <w:rPr>
          <w:rFonts w:ascii="BentonSans Book" w:eastAsia="Times New Roman" w:hAnsi="BentonSans Book" w:cs="Times New Roman"/>
        </w:rPr>
        <w:t xml:space="preserve">assets quality in agriculture sector continued to improve in line with improved </w:t>
      </w:r>
      <w:r w:rsidR="007E7AF8" w:rsidRPr="007E7AF8">
        <w:rPr>
          <w:rFonts w:ascii="BentonSans Book" w:eastAsia="Times New Roman" w:hAnsi="BentonSans Book" w:cs="Times New Roman"/>
        </w:rPr>
        <w:t>performanc</w:t>
      </w:r>
      <w:r w:rsidR="007E7AF8">
        <w:rPr>
          <w:rFonts w:ascii="BentonSans Book" w:eastAsia="Times New Roman" w:hAnsi="BentonSans Book" w:cs="Times New Roman"/>
        </w:rPr>
        <w:t>e of this sector.</w:t>
      </w:r>
      <w:r w:rsidR="007E7AF8" w:rsidRPr="007E7AF8">
        <w:rPr>
          <w:rFonts w:ascii="BentonSans Book" w:eastAsia="Times New Roman" w:hAnsi="BentonSans Book" w:cs="Times New Roman"/>
        </w:rPr>
        <w:t xml:space="preserve"> </w:t>
      </w:r>
      <w:r w:rsidR="007E7AF8">
        <w:rPr>
          <w:rFonts w:ascii="BentonSans Book" w:eastAsia="Times New Roman" w:hAnsi="BentonSans Book" w:cs="Times New Roman"/>
        </w:rPr>
        <w:t xml:space="preserve">In this end, </w:t>
      </w:r>
      <w:r w:rsidR="006C196B" w:rsidRPr="007E7AF8">
        <w:rPr>
          <w:rFonts w:ascii="BentonSans Book" w:eastAsia="Times New Roman" w:hAnsi="BentonSans Book" w:cs="Times New Roman"/>
        </w:rPr>
        <w:t>NPLs ratio in the agriculture sector dropped from</w:t>
      </w:r>
      <w:r w:rsidR="007E7AF8">
        <w:rPr>
          <w:rFonts w:ascii="BentonSans Book" w:eastAsia="Times New Roman" w:hAnsi="BentonSans Book" w:cs="Times New Roman"/>
        </w:rPr>
        <w:t xml:space="preserve"> 7.3 percent in March 2018 to 5.9 percent in March 2019 (Table 2</w:t>
      </w:r>
      <w:r w:rsidR="006C196B" w:rsidRPr="007E7AF8">
        <w:rPr>
          <w:rFonts w:ascii="BentonSans Book" w:eastAsia="Times New Roman" w:hAnsi="BentonSans Book" w:cs="Times New Roman"/>
        </w:rPr>
        <w:t xml:space="preserve">). </w:t>
      </w:r>
      <w:r w:rsidR="00100101">
        <w:rPr>
          <w:rFonts w:ascii="BentonSans Book" w:eastAsia="Times New Roman" w:hAnsi="BentonSans Book" w:cs="Times New Roman"/>
        </w:rPr>
        <w:t xml:space="preserve">Assets quality </w:t>
      </w:r>
      <w:r w:rsidR="006C196B" w:rsidRPr="007E7AF8">
        <w:rPr>
          <w:rFonts w:ascii="BentonSans Book" w:eastAsia="Times New Roman" w:hAnsi="BentonSans Book" w:cs="Times New Roman"/>
        </w:rPr>
        <w:t xml:space="preserve">also </w:t>
      </w:r>
      <w:r w:rsidR="004C335B">
        <w:rPr>
          <w:rFonts w:ascii="BentonSans Book" w:eastAsia="Times New Roman" w:hAnsi="BentonSans Book" w:cs="Times New Roman"/>
        </w:rPr>
        <w:t xml:space="preserve">significantly </w:t>
      </w:r>
      <w:r w:rsidR="00100101">
        <w:rPr>
          <w:rFonts w:ascii="BentonSans Book" w:eastAsia="Times New Roman" w:hAnsi="BentonSans Book" w:cs="Times New Roman"/>
        </w:rPr>
        <w:t xml:space="preserve">improved in manufacturing sector. The ratio of </w:t>
      </w:r>
      <w:r w:rsidR="0035238D">
        <w:rPr>
          <w:rFonts w:ascii="BentonSans Book" w:eastAsia="Times New Roman" w:hAnsi="BentonSans Book" w:cs="Times New Roman"/>
        </w:rPr>
        <w:t>non-performing</w:t>
      </w:r>
      <w:r w:rsidR="00100101">
        <w:rPr>
          <w:rFonts w:ascii="BentonSans Book" w:eastAsia="Times New Roman" w:hAnsi="BentonSans Book" w:cs="Times New Roman"/>
        </w:rPr>
        <w:t xml:space="preserve"> loans to gross loans in manufacturing sector </w:t>
      </w:r>
      <w:r w:rsidR="006C196B" w:rsidRPr="007E7AF8">
        <w:rPr>
          <w:rFonts w:ascii="BentonSans Book" w:eastAsia="Times New Roman" w:hAnsi="BentonSans Book" w:cs="Times New Roman"/>
        </w:rPr>
        <w:t xml:space="preserve">reduced </w:t>
      </w:r>
      <w:r w:rsidR="00100101" w:rsidRPr="007E7AF8">
        <w:rPr>
          <w:rFonts w:ascii="BentonSans Book" w:eastAsia="Times New Roman" w:hAnsi="BentonSans Book" w:cs="Times New Roman"/>
        </w:rPr>
        <w:t>from</w:t>
      </w:r>
      <w:r w:rsidR="00100101">
        <w:rPr>
          <w:rFonts w:ascii="BentonSans Book" w:eastAsia="Times New Roman" w:hAnsi="BentonSans Book" w:cs="Times New Roman"/>
        </w:rPr>
        <w:t xml:space="preserve"> 12.5 percent in March 2018 to 9.3 percent in March 2019.  </w:t>
      </w:r>
      <w:r w:rsidR="00F75237">
        <w:rPr>
          <w:rFonts w:ascii="BentonSans Book" w:eastAsia="Times New Roman" w:hAnsi="BentonSans Book" w:cs="Times New Roman"/>
        </w:rPr>
        <w:t xml:space="preserve">There were also </w:t>
      </w:r>
      <w:r w:rsidR="0035238D">
        <w:rPr>
          <w:rFonts w:ascii="BentonSans Book" w:eastAsia="Times New Roman" w:hAnsi="BentonSans Book" w:cs="Times New Roman"/>
        </w:rPr>
        <w:t>some marginal</w:t>
      </w:r>
      <w:r w:rsidR="00F75237">
        <w:rPr>
          <w:rFonts w:ascii="BentonSans Book" w:eastAsia="Times New Roman" w:hAnsi="BentonSans Book" w:cs="Times New Roman"/>
        </w:rPr>
        <w:t xml:space="preserve"> reduction of </w:t>
      </w:r>
      <w:r w:rsidR="0035238D">
        <w:rPr>
          <w:rFonts w:ascii="BentonSans Book" w:eastAsia="Times New Roman" w:hAnsi="BentonSans Book" w:cs="Times New Roman"/>
        </w:rPr>
        <w:t>non-performing</w:t>
      </w:r>
      <w:r w:rsidR="00F75237">
        <w:rPr>
          <w:rFonts w:ascii="BentonSans Book" w:eastAsia="Times New Roman" w:hAnsi="BentonSans Book" w:cs="Times New Roman"/>
        </w:rPr>
        <w:t xml:space="preserve"> loans ratio</w:t>
      </w:r>
      <w:r w:rsidR="00100101">
        <w:rPr>
          <w:rFonts w:ascii="BentonSans Book" w:eastAsia="Times New Roman" w:hAnsi="BentonSans Book" w:cs="Times New Roman"/>
        </w:rPr>
        <w:t xml:space="preserve"> in</w:t>
      </w:r>
      <w:r w:rsidR="004C335B">
        <w:rPr>
          <w:rFonts w:ascii="BentonSans Book" w:eastAsia="Times New Roman" w:hAnsi="BentonSans Book" w:cs="Times New Roman"/>
        </w:rPr>
        <w:t xml:space="preserve"> mortgage, </w:t>
      </w:r>
      <w:r w:rsidR="00100101">
        <w:rPr>
          <w:rFonts w:ascii="BentonSans Book" w:eastAsia="Times New Roman" w:hAnsi="BentonSans Book" w:cs="Times New Roman"/>
        </w:rPr>
        <w:t>trade</w:t>
      </w:r>
      <w:r w:rsidR="00F75237">
        <w:rPr>
          <w:rFonts w:ascii="BentonSans Book" w:eastAsia="Times New Roman" w:hAnsi="BentonSans Book" w:cs="Times New Roman"/>
        </w:rPr>
        <w:t xml:space="preserve"> </w:t>
      </w:r>
      <w:r w:rsidR="00100101">
        <w:rPr>
          <w:rFonts w:ascii="BentonSans Book" w:eastAsia="Times New Roman" w:hAnsi="BentonSans Book" w:cs="Times New Roman"/>
        </w:rPr>
        <w:t xml:space="preserve">and </w:t>
      </w:r>
      <w:r w:rsidR="0035238D">
        <w:rPr>
          <w:rFonts w:ascii="BentonSans Book" w:eastAsia="Times New Roman" w:hAnsi="BentonSans Book" w:cs="Times New Roman"/>
        </w:rPr>
        <w:t>in hotels</w:t>
      </w:r>
      <w:r w:rsidR="00100101">
        <w:rPr>
          <w:rFonts w:ascii="BentonSans Book" w:eastAsia="Times New Roman" w:hAnsi="BentonSans Book" w:cs="Times New Roman"/>
        </w:rPr>
        <w:t xml:space="preserve">. Unlikely, </w:t>
      </w:r>
      <w:r w:rsidR="006C196B" w:rsidRPr="007E7AF8">
        <w:rPr>
          <w:rFonts w:ascii="BentonSans Book" w:eastAsia="Times New Roman" w:hAnsi="BentonSans Book" w:cs="Times New Roman"/>
        </w:rPr>
        <w:t>NPLs ratio</w:t>
      </w:r>
      <w:r w:rsidR="00100101">
        <w:rPr>
          <w:rFonts w:ascii="BentonSans Book" w:eastAsia="Times New Roman" w:hAnsi="BentonSans Book" w:cs="Times New Roman"/>
        </w:rPr>
        <w:t xml:space="preserve"> in</w:t>
      </w:r>
      <w:r w:rsidR="00B34D3C">
        <w:rPr>
          <w:rFonts w:ascii="BentonSans Book" w:eastAsia="Times New Roman" w:hAnsi="BentonSans Book" w:cs="Times New Roman"/>
        </w:rPr>
        <w:t xml:space="preserve">creased for personal loans (from 6 percent to 6.6 percent), mining (from 0.7 percent to 60.3 percent), </w:t>
      </w:r>
      <w:r w:rsidR="0035238D">
        <w:rPr>
          <w:rFonts w:ascii="BentonSans Book" w:eastAsia="Times New Roman" w:hAnsi="BentonSans Book" w:cs="Times New Roman"/>
        </w:rPr>
        <w:t>transport</w:t>
      </w:r>
      <w:r w:rsidR="00B34D3C">
        <w:rPr>
          <w:rFonts w:ascii="BentonSans Book" w:eastAsia="Times New Roman" w:hAnsi="BentonSans Book" w:cs="Times New Roman"/>
        </w:rPr>
        <w:t xml:space="preserve"> and communication (from 2.6 percent to 2.9 percent), financial </w:t>
      </w:r>
      <w:r w:rsidR="0035238D">
        <w:rPr>
          <w:rFonts w:ascii="BentonSans Book" w:eastAsia="Times New Roman" w:hAnsi="BentonSans Book" w:cs="Times New Roman"/>
        </w:rPr>
        <w:t>sector (from 0.3 percent to 3.7 percent</w:t>
      </w:r>
      <w:r w:rsidR="00B34D3C">
        <w:rPr>
          <w:rFonts w:ascii="BentonSans Book" w:eastAsia="Times New Roman" w:hAnsi="BentonSans Book" w:cs="Times New Roman"/>
        </w:rPr>
        <w:t>) and other services (</w:t>
      </w:r>
      <w:r w:rsidR="0035238D">
        <w:rPr>
          <w:rFonts w:ascii="BentonSans Book" w:eastAsia="Times New Roman" w:hAnsi="BentonSans Book" w:cs="Times New Roman"/>
        </w:rPr>
        <w:t>from 9 percent to 10.7 percent).</w:t>
      </w:r>
    </w:p>
    <w:p w14:paraId="04600B5A" w14:textId="5E123BEF" w:rsidR="0088665D" w:rsidRDefault="0088665D" w:rsidP="006C196B">
      <w:pPr>
        <w:jc w:val="both"/>
        <w:rPr>
          <w:rFonts w:ascii="BentonSans Book" w:eastAsia="Times New Roman" w:hAnsi="BentonSans Book" w:cs="Times New Roman"/>
          <w:color w:val="C00000"/>
        </w:rPr>
      </w:pPr>
    </w:p>
    <w:p w14:paraId="0446F42C" w14:textId="603B8495" w:rsidR="0088665D" w:rsidRPr="00B709F4" w:rsidRDefault="0088665D" w:rsidP="0088665D">
      <w:pPr>
        <w:pStyle w:val="NormalWeb"/>
        <w:spacing w:before="120" w:after="120" w:line="360" w:lineRule="auto"/>
        <w:rPr>
          <w:rFonts w:ascii="BentonSans Black" w:hAnsi="BentonSans Black"/>
          <w:b/>
          <w:sz w:val="22"/>
          <w:szCs w:val="22"/>
        </w:rPr>
      </w:pPr>
      <w:r w:rsidRPr="00B709F4">
        <w:rPr>
          <w:rFonts w:ascii="BentonSans Black" w:hAnsi="BentonSans Black"/>
          <w:b/>
          <w:sz w:val="22"/>
          <w:szCs w:val="22"/>
        </w:rPr>
        <w:lastRenderedPageBreak/>
        <w:t xml:space="preserve">Table 2: </w:t>
      </w:r>
      <w:proofErr w:type="gramStart"/>
      <w:r w:rsidRPr="00B709F4">
        <w:rPr>
          <w:rFonts w:ascii="BentonSans Black" w:hAnsi="BentonSans Black"/>
          <w:b/>
          <w:sz w:val="22"/>
          <w:szCs w:val="22"/>
        </w:rPr>
        <w:t>Non Performing</w:t>
      </w:r>
      <w:proofErr w:type="gramEnd"/>
      <w:r w:rsidRPr="00B709F4">
        <w:rPr>
          <w:rFonts w:ascii="BentonSans Black" w:hAnsi="BentonSans Black"/>
          <w:b/>
          <w:sz w:val="22"/>
          <w:szCs w:val="22"/>
        </w:rPr>
        <w:t xml:space="preserve"> Loans Ratio by Activity Sector</w:t>
      </w:r>
    </w:p>
    <w:tbl>
      <w:tblPr>
        <w:tblW w:w="9400" w:type="dxa"/>
        <w:tblLook w:val="04A0" w:firstRow="1" w:lastRow="0" w:firstColumn="1" w:lastColumn="0" w:noHBand="0" w:noVBand="1"/>
      </w:tblPr>
      <w:tblGrid>
        <w:gridCol w:w="4400"/>
        <w:gridCol w:w="1240"/>
        <w:gridCol w:w="1120"/>
        <w:gridCol w:w="1180"/>
        <w:gridCol w:w="1460"/>
      </w:tblGrid>
      <w:tr w:rsidR="00D32173" w:rsidRPr="00D32173" w14:paraId="75191864" w14:textId="77777777" w:rsidTr="00D32173">
        <w:trPr>
          <w:trHeight w:val="285"/>
        </w:trPr>
        <w:tc>
          <w:tcPr>
            <w:tcW w:w="4400"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5BCDAFA1" w14:textId="77777777" w:rsidR="00D32173" w:rsidRPr="00D32173" w:rsidRDefault="00D32173" w:rsidP="00D32173">
            <w:pPr>
              <w:spacing w:after="0" w:line="240" w:lineRule="auto"/>
              <w:jc w:val="center"/>
              <w:rPr>
                <w:rFonts w:ascii="BentonSans Book" w:eastAsia="Times New Roman" w:hAnsi="BentonSans Book" w:cs="Times New Roman"/>
                <w:b/>
              </w:rPr>
            </w:pPr>
            <w:r w:rsidRPr="00D32173">
              <w:rPr>
                <w:rFonts w:ascii="BentonSans Book" w:eastAsia="Times New Roman" w:hAnsi="BentonSans Book" w:cs="Times New Roman"/>
                <w:b/>
              </w:rPr>
              <w:t>Activity Sector</w:t>
            </w:r>
          </w:p>
        </w:tc>
        <w:tc>
          <w:tcPr>
            <w:tcW w:w="5000" w:type="dxa"/>
            <w:gridSpan w:val="4"/>
            <w:tcBorders>
              <w:top w:val="single" w:sz="4" w:space="0" w:color="auto"/>
              <w:left w:val="nil"/>
              <w:bottom w:val="single" w:sz="4" w:space="0" w:color="auto"/>
              <w:right w:val="single" w:sz="4" w:space="0" w:color="auto"/>
            </w:tcBorders>
            <w:shd w:val="clear" w:color="000000" w:fill="FFC000"/>
            <w:vAlign w:val="center"/>
            <w:hideMark/>
          </w:tcPr>
          <w:p w14:paraId="7CD7926B" w14:textId="77777777" w:rsidR="00D32173" w:rsidRPr="00D32173" w:rsidRDefault="00D32173" w:rsidP="00D32173">
            <w:pPr>
              <w:spacing w:after="0" w:line="240" w:lineRule="auto"/>
              <w:jc w:val="center"/>
              <w:rPr>
                <w:rFonts w:ascii="BentonSans Book" w:eastAsia="Times New Roman" w:hAnsi="BentonSans Book" w:cs="Times New Roman"/>
                <w:b/>
              </w:rPr>
            </w:pPr>
            <w:r w:rsidRPr="00D32173">
              <w:rPr>
                <w:rFonts w:ascii="BentonSans Book" w:eastAsia="Times New Roman" w:hAnsi="BentonSans Book" w:cs="Times New Roman"/>
                <w:b/>
              </w:rPr>
              <w:t xml:space="preserve"> NPLs Ratio (%)</w:t>
            </w:r>
          </w:p>
        </w:tc>
      </w:tr>
      <w:tr w:rsidR="00D32173" w:rsidRPr="00D32173" w14:paraId="1E5FD108" w14:textId="77777777" w:rsidTr="00D32173">
        <w:trPr>
          <w:trHeight w:val="255"/>
        </w:trPr>
        <w:tc>
          <w:tcPr>
            <w:tcW w:w="4400" w:type="dxa"/>
            <w:vMerge/>
            <w:tcBorders>
              <w:top w:val="single" w:sz="4" w:space="0" w:color="auto"/>
              <w:left w:val="single" w:sz="4" w:space="0" w:color="auto"/>
              <w:bottom w:val="single" w:sz="4" w:space="0" w:color="auto"/>
              <w:right w:val="single" w:sz="4" w:space="0" w:color="auto"/>
            </w:tcBorders>
            <w:vAlign w:val="center"/>
            <w:hideMark/>
          </w:tcPr>
          <w:p w14:paraId="5EC9A88A" w14:textId="77777777" w:rsidR="00D32173" w:rsidRPr="00D32173" w:rsidRDefault="00D32173" w:rsidP="00D32173">
            <w:pPr>
              <w:spacing w:after="0" w:line="240" w:lineRule="auto"/>
              <w:rPr>
                <w:rFonts w:ascii="BentonSans Book" w:eastAsia="Times New Roman" w:hAnsi="BentonSans Book" w:cs="Times New Roman"/>
                <w:b/>
              </w:rPr>
            </w:pPr>
          </w:p>
        </w:tc>
        <w:tc>
          <w:tcPr>
            <w:tcW w:w="1240" w:type="dxa"/>
            <w:tcBorders>
              <w:top w:val="nil"/>
              <w:left w:val="nil"/>
              <w:bottom w:val="single" w:sz="4" w:space="0" w:color="auto"/>
              <w:right w:val="single" w:sz="4" w:space="0" w:color="auto"/>
            </w:tcBorders>
            <w:shd w:val="clear" w:color="000000" w:fill="FFC000"/>
            <w:noWrap/>
            <w:vAlign w:val="bottom"/>
            <w:hideMark/>
          </w:tcPr>
          <w:p w14:paraId="7953ABD8" w14:textId="77777777" w:rsidR="00D32173" w:rsidRPr="00D32173" w:rsidRDefault="00D32173" w:rsidP="00D32173">
            <w:pPr>
              <w:spacing w:after="0" w:line="240" w:lineRule="auto"/>
              <w:jc w:val="right"/>
              <w:rPr>
                <w:rFonts w:ascii="BentonSans Book" w:eastAsia="Times New Roman" w:hAnsi="BentonSans Book" w:cs="Times New Roman"/>
                <w:b/>
              </w:rPr>
            </w:pPr>
            <w:r w:rsidRPr="00D32173">
              <w:rPr>
                <w:rFonts w:ascii="BentonSans Book" w:eastAsia="Times New Roman" w:hAnsi="BentonSans Book" w:cs="Times New Roman"/>
                <w:b/>
              </w:rPr>
              <w:t>Mar-16</w:t>
            </w:r>
          </w:p>
        </w:tc>
        <w:tc>
          <w:tcPr>
            <w:tcW w:w="1120" w:type="dxa"/>
            <w:tcBorders>
              <w:top w:val="nil"/>
              <w:left w:val="nil"/>
              <w:bottom w:val="single" w:sz="4" w:space="0" w:color="auto"/>
              <w:right w:val="single" w:sz="4" w:space="0" w:color="auto"/>
            </w:tcBorders>
            <w:shd w:val="clear" w:color="000000" w:fill="FFC000"/>
            <w:noWrap/>
            <w:vAlign w:val="bottom"/>
            <w:hideMark/>
          </w:tcPr>
          <w:p w14:paraId="19F46506" w14:textId="77777777" w:rsidR="00D32173" w:rsidRPr="00D32173" w:rsidRDefault="00D32173" w:rsidP="00D32173">
            <w:pPr>
              <w:spacing w:after="0" w:line="240" w:lineRule="auto"/>
              <w:jc w:val="right"/>
              <w:rPr>
                <w:rFonts w:ascii="BentonSans Book" w:eastAsia="Times New Roman" w:hAnsi="BentonSans Book" w:cs="Times New Roman"/>
                <w:b/>
              </w:rPr>
            </w:pPr>
            <w:r w:rsidRPr="00D32173">
              <w:rPr>
                <w:rFonts w:ascii="BentonSans Book" w:eastAsia="Times New Roman" w:hAnsi="BentonSans Book" w:cs="Times New Roman"/>
                <w:b/>
              </w:rPr>
              <w:t>Mar-17</w:t>
            </w:r>
          </w:p>
        </w:tc>
        <w:tc>
          <w:tcPr>
            <w:tcW w:w="1180" w:type="dxa"/>
            <w:tcBorders>
              <w:top w:val="nil"/>
              <w:left w:val="nil"/>
              <w:bottom w:val="single" w:sz="4" w:space="0" w:color="auto"/>
              <w:right w:val="single" w:sz="4" w:space="0" w:color="auto"/>
            </w:tcBorders>
            <w:shd w:val="clear" w:color="000000" w:fill="FFC000"/>
            <w:noWrap/>
            <w:vAlign w:val="bottom"/>
            <w:hideMark/>
          </w:tcPr>
          <w:p w14:paraId="4FD44BDB" w14:textId="77777777" w:rsidR="00D32173" w:rsidRPr="00D32173" w:rsidRDefault="00D32173" w:rsidP="00D32173">
            <w:pPr>
              <w:spacing w:after="0" w:line="240" w:lineRule="auto"/>
              <w:jc w:val="right"/>
              <w:rPr>
                <w:rFonts w:ascii="BentonSans Book" w:eastAsia="Times New Roman" w:hAnsi="BentonSans Book" w:cs="Times New Roman"/>
                <w:b/>
              </w:rPr>
            </w:pPr>
            <w:r w:rsidRPr="00D32173">
              <w:rPr>
                <w:rFonts w:ascii="BentonSans Book" w:eastAsia="Times New Roman" w:hAnsi="BentonSans Book" w:cs="Times New Roman"/>
                <w:b/>
              </w:rPr>
              <w:t>Mar-18</w:t>
            </w:r>
          </w:p>
        </w:tc>
        <w:tc>
          <w:tcPr>
            <w:tcW w:w="1460" w:type="dxa"/>
            <w:tcBorders>
              <w:top w:val="nil"/>
              <w:left w:val="nil"/>
              <w:bottom w:val="single" w:sz="4" w:space="0" w:color="auto"/>
              <w:right w:val="single" w:sz="4" w:space="0" w:color="auto"/>
            </w:tcBorders>
            <w:shd w:val="clear" w:color="000000" w:fill="FFC000"/>
            <w:noWrap/>
            <w:vAlign w:val="bottom"/>
            <w:hideMark/>
          </w:tcPr>
          <w:p w14:paraId="1E6EDEA3" w14:textId="77777777" w:rsidR="00D32173" w:rsidRPr="00D32173" w:rsidRDefault="00D32173" w:rsidP="00D32173">
            <w:pPr>
              <w:spacing w:after="0" w:line="240" w:lineRule="auto"/>
              <w:jc w:val="right"/>
              <w:rPr>
                <w:rFonts w:ascii="BentonSans Book" w:eastAsia="Times New Roman" w:hAnsi="BentonSans Book" w:cs="Times New Roman"/>
                <w:b/>
              </w:rPr>
            </w:pPr>
            <w:r w:rsidRPr="00D32173">
              <w:rPr>
                <w:rFonts w:ascii="BentonSans Book" w:eastAsia="Times New Roman" w:hAnsi="BentonSans Book" w:cs="Times New Roman"/>
                <w:b/>
              </w:rPr>
              <w:t>Mar-19</w:t>
            </w:r>
          </w:p>
        </w:tc>
      </w:tr>
      <w:tr w:rsidR="007E7AF8" w:rsidRPr="00D32173" w14:paraId="13C1D4D9" w14:textId="77777777" w:rsidTr="00D32173">
        <w:trPr>
          <w:trHeight w:val="300"/>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5CE2F420" w14:textId="77777777" w:rsidR="007E7AF8" w:rsidRPr="00D32173" w:rsidRDefault="007E7AF8" w:rsidP="007E7AF8">
            <w:pPr>
              <w:spacing w:after="0" w:line="240" w:lineRule="auto"/>
              <w:jc w:val="both"/>
              <w:rPr>
                <w:rFonts w:ascii="BentonSans Book" w:eastAsia="Times New Roman" w:hAnsi="BentonSans Book" w:cs="Times New Roman"/>
              </w:rPr>
            </w:pPr>
            <w:r w:rsidRPr="00D32173">
              <w:rPr>
                <w:rFonts w:ascii="BentonSans Book" w:eastAsia="Times New Roman" w:hAnsi="BentonSans Book" w:cs="Times New Roman"/>
              </w:rPr>
              <w:t>Personal loans</w:t>
            </w:r>
          </w:p>
        </w:tc>
        <w:tc>
          <w:tcPr>
            <w:tcW w:w="1240" w:type="dxa"/>
            <w:tcBorders>
              <w:top w:val="nil"/>
              <w:left w:val="nil"/>
              <w:bottom w:val="single" w:sz="4" w:space="0" w:color="auto"/>
              <w:right w:val="single" w:sz="4" w:space="0" w:color="auto"/>
            </w:tcBorders>
            <w:shd w:val="clear" w:color="000000" w:fill="FFFFFF"/>
            <w:vAlign w:val="bottom"/>
            <w:hideMark/>
          </w:tcPr>
          <w:p w14:paraId="09BC4FC3"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8.1</w:t>
            </w:r>
          </w:p>
        </w:tc>
        <w:tc>
          <w:tcPr>
            <w:tcW w:w="1120" w:type="dxa"/>
            <w:tcBorders>
              <w:top w:val="nil"/>
              <w:left w:val="nil"/>
              <w:bottom w:val="single" w:sz="4" w:space="0" w:color="auto"/>
              <w:right w:val="single" w:sz="4" w:space="0" w:color="auto"/>
            </w:tcBorders>
            <w:shd w:val="clear" w:color="000000" w:fill="FFFFFF"/>
            <w:vAlign w:val="bottom"/>
            <w:hideMark/>
          </w:tcPr>
          <w:p w14:paraId="184CA10B"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5.4</w:t>
            </w:r>
          </w:p>
        </w:tc>
        <w:tc>
          <w:tcPr>
            <w:tcW w:w="1180" w:type="dxa"/>
            <w:tcBorders>
              <w:top w:val="nil"/>
              <w:left w:val="nil"/>
              <w:bottom w:val="single" w:sz="4" w:space="0" w:color="auto"/>
              <w:right w:val="single" w:sz="4" w:space="0" w:color="auto"/>
            </w:tcBorders>
            <w:shd w:val="clear" w:color="000000" w:fill="FFFFFF"/>
            <w:vAlign w:val="bottom"/>
            <w:hideMark/>
          </w:tcPr>
          <w:p w14:paraId="4ECAD51F"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6</w:t>
            </w:r>
          </w:p>
        </w:tc>
        <w:tc>
          <w:tcPr>
            <w:tcW w:w="1460" w:type="dxa"/>
            <w:tcBorders>
              <w:top w:val="nil"/>
              <w:left w:val="nil"/>
              <w:bottom w:val="single" w:sz="4" w:space="0" w:color="auto"/>
              <w:right w:val="single" w:sz="4" w:space="0" w:color="auto"/>
            </w:tcBorders>
            <w:shd w:val="clear" w:color="auto" w:fill="auto"/>
            <w:noWrap/>
            <w:vAlign w:val="bottom"/>
            <w:hideMark/>
          </w:tcPr>
          <w:p w14:paraId="565EF3F5" w14:textId="2195D7A3" w:rsidR="007E7AF8" w:rsidRPr="00D32173" w:rsidRDefault="007E7AF8" w:rsidP="007E7AF8">
            <w:pPr>
              <w:spacing w:after="0" w:line="240" w:lineRule="auto"/>
              <w:jc w:val="center"/>
              <w:rPr>
                <w:rFonts w:ascii="BentonSans Book" w:eastAsia="Times New Roman" w:hAnsi="BentonSans Book" w:cs="Times New Roman"/>
              </w:rPr>
            </w:pPr>
            <w:r w:rsidRPr="007E7AF8">
              <w:rPr>
                <w:rFonts w:ascii="BentonSans Book" w:eastAsia="Times New Roman" w:hAnsi="BentonSans Book" w:cs="Times New Roman"/>
              </w:rPr>
              <w:t>6.6</w:t>
            </w:r>
          </w:p>
        </w:tc>
      </w:tr>
      <w:tr w:rsidR="007E7AF8" w:rsidRPr="00D32173" w14:paraId="211A962A" w14:textId="77777777" w:rsidTr="00D32173">
        <w:trPr>
          <w:trHeight w:val="300"/>
        </w:trPr>
        <w:tc>
          <w:tcPr>
            <w:tcW w:w="4400" w:type="dxa"/>
            <w:tcBorders>
              <w:top w:val="nil"/>
              <w:left w:val="single" w:sz="4" w:space="0" w:color="auto"/>
              <w:bottom w:val="single" w:sz="4" w:space="0" w:color="auto"/>
              <w:right w:val="single" w:sz="4" w:space="0" w:color="auto"/>
            </w:tcBorders>
            <w:shd w:val="clear" w:color="000000" w:fill="FFFFFF"/>
            <w:vAlign w:val="center"/>
            <w:hideMark/>
          </w:tcPr>
          <w:p w14:paraId="0E0F5051" w14:textId="77777777" w:rsidR="007E7AF8" w:rsidRPr="00D32173" w:rsidRDefault="007E7AF8" w:rsidP="007E7AF8">
            <w:pPr>
              <w:spacing w:after="0" w:line="240" w:lineRule="auto"/>
              <w:jc w:val="both"/>
              <w:rPr>
                <w:rFonts w:ascii="BentonSans Book" w:eastAsia="Times New Roman" w:hAnsi="BentonSans Book" w:cs="Times New Roman"/>
              </w:rPr>
            </w:pPr>
            <w:r w:rsidRPr="00D32173">
              <w:rPr>
                <w:rFonts w:ascii="BentonSans Book" w:eastAsia="Times New Roman" w:hAnsi="BentonSans Book" w:cs="Times New Roman"/>
              </w:rPr>
              <w:t>Agricultural, fisheries and  livestock</w:t>
            </w:r>
          </w:p>
        </w:tc>
        <w:tc>
          <w:tcPr>
            <w:tcW w:w="1240" w:type="dxa"/>
            <w:tcBorders>
              <w:top w:val="nil"/>
              <w:left w:val="nil"/>
              <w:bottom w:val="single" w:sz="4" w:space="0" w:color="auto"/>
              <w:right w:val="single" w:sz="4" w:space="0" w:color="auto"/>
            </w:tcBorders>
            <w:shd w:val="clear" w:color="000000" w:fill="FFFFFF"/>
            <w:vAlign w:val="bottom"/>
            <w:hideMark/>
          </w:tcPr>
          <w:p w14:paraId="7C88F1D6"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24.9</w:t>
            </w:r>
          </w:p>
        </w:tc>
        <w:tc>
          <w:tcPr>
            <w:tcW w:w="1120" w:type="dxa"/>
            <w:tcBorders>
              <w:top w:val="nil"/>
              <w:left w:val="nil"/>
              <w:bottom w:val="single" w:sz="4" w:space="0" w:color="auto"/>
              <w:right w:val="single" w:sz="4" w:space="0" w:color="auto"/>
            </w:tcBorders>
            <w:shd w:val="clear" w:color="000000" w:fill="FFFFFF"/>
            <w:vAlign w:val="bottom"/>
            <w:hideMark/>
          </w:tcPr>
          <w:p w14:paraId="2CB2AAB6"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10</w:t>
            </w:r>
          </w:p>
        </w:tc>
        <w:tc>
          <w:tcPr>
            <w:tcW w:w="1180" w:type="dxa"/>
            <w:tcBorders>
              <w:top w:val="nil"/>
              <w:left w:val="nil"/>
              <w:bottom w:val="single" w:sz="4" w:space="0" w:color="auto"/>
              <w:right w:val="single" w:sz="4" w:space="0" w:color="auto"/>
            </w:tcBorders>
            <w:shd w:val="clear" w:color="000000" w:fill="FFFFFF"/>
            <w:vAlign w:val="bottom"/>
            <w:hideMark/>
          </w:tcPr>
          <w:p w14:paraId="5D4BC748"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7.3</w:t>
            </w:r>
          </w:p>
        </w:tc>
        <w:tc>
          <w:tcPr>
            <w:tcW w:w="1460" w:type="dxa"/>
            <w:tcBorders>
              <w:top w:val="nil"/>
              <w:left w:val="nil"/>
              <w:bottom w:val="single" w:sz="4" w:space="0" w:color="auto"/>
              <w:right w:val="single" w:sz="4" w:space="0" w:color="auto"/>
            </w:tcBorders>
            <w:shd w:val="clear" w:color="auto" w:fill="auto"/>
            <w:noWrap/>
            <w:vAlign w:val="bottom"/>
            <w:hideMark/>
          </w:tcPr>
          <w:p w14:paraId="3F28F3B7" w14:textId="63DB6EEB" w:rsidR="007E7AF8" w:rsidRPr="00D32173" w:rsidRDefault="007E7AF8" w:rsidP="007E7AF8">
            <w:pPr>
              <w:spacing w:after="0" w:line="240" w:lineRule="auto"/>
              <w:jc w:val="center"/>
              <w:rPr>
                <w:rFonts w:ascii="BentonSans Book" w:eastAsia="Times New Roman" w:hAnsi="BentonSans Book" w:cs="Times New Roman"/>
              </w:rPr>
            </w:pPr>
            <w:r w:rsidRPr="007E7AF8">
              <w:rPr>
                <w:rFonts w:ascii="BentonSans Book" w:eastAsia="Times New Roman" w:hAnsi="BentonSans Book" w:cs="Times New Roman"/>
              </w:rPr>
              <w:t>5.9</w:t>
            </w:r>
          </w:p>
        </w:tc>
      </w:tr>
      <w:tr w:rsidR="007E7AF8" w:rsidRPr="00D32173" w14:paraId="7968077A" w14:textId="77777777" w:rsidTr="00D32173">
        <w:trPr>
          <w:trHeight w:val="300"/>
        </w:trPr>
        <w:tc>
          <w:tcPr>
            <w:tcW w:w="4400" w:type="dxa"/>
            <w:tcBorders>
              <w:top w:val="nil"/>
              <w:left w:val="single" w:sz="4" w:space="0" w:color="auto"/>
              <w:bottom w:val="single" w:sz="4" w:space="0" w:color="auto"/>
              <w:right w:val="single" w:sz="4" w:space="0" w:color="auto"/>
            </w:tcBorders>
            <w:shd w:val="clear" w:color="000000" w:fill="FFFFFF"/>
            <w:vAlign w:val="center"/>
            <w:hideMark/>
          </w:tcPr>
          <w:p w14:paraId="13FF8534" w14:textId="77777777" w:rsidR="007E7AF8" w:rsidRPr="00D32173" w:rsidRDefault="007E7AF8" w:rsidP="007E7AF8">
            <w:pPr>
              <w:spacing w:after="0" w:line="240" w:lineRule="auto"/>
              <w:jc w:val="both"/>
              <w:rPr>
                <w:rFonts w:ascii="BentonSans Book" w:eastAsia="Times New Roman" w:hAnsi="BentonSans Book" w:cs="Times New Roman"/>
              </w:rPr>
            </w:pPr>
            <w:r w:rsidRPr="00D32173">
              <w:rPr>
                <w:rFonts w:ascii="BentonSans Book" w:eastAsia="Times New Roman" w:hAnsi="BentonSans Book" w:cs="Times New Roman"/>
              </w:rPr>
              <w:t>Mining activities</w:t>
            </w:r>
          </w:p>
        </w:tc>
        <w:tc>
          <w:tcPr>
            <w:tcW w:w="1240" w:type="dxa"/>
            <w:tcBorders>
              <w:top w:val="nil"/>
              <w:left w:val="nil"/>
              <w:bottom w:val="single" w:sz="4" w:space="0" w:color="auto"/>
              <w:right w:val="single" w:sz="4" w:space="0" w:color="auto"/>
            </w:tcBorders>
            <w:shd w:val="clear" w:color="000000" w:fill="FFFFFF"/>
            <w:vAlign w:val="bottom"/>
            <w:hideMark/>
          </w:tcPr>
          <w:p w14:paraId="4CA5DB5B"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0</w:t>
            </w:r>
          </w:p>
        </w:tc>
        <w:tc>
          <w:tcPr>
            <w:tcW w:w="1120" w:type="dxa"/>
            <w:tcBorders>
              <w:top w:val="nil"/>
              <w:left w:val="nil"/>
              <w:bottom w:val="single" w:sz="4" w:space="0" w:color="auto"/>
              <w:right w:val="single" w:sz="4" w:space="0" w:color="auto"/>
            </w:tcBorders>
            <w:shd w:val="clear" w:color="000000" w:fill="FFFFFF"/>
            <w:vAlign w:val="bottom"/>
            <w:hideMark/>
          </w:tcPr>
          <w:p w14:paraId="11DD0622"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0.7</w:t>
            </w:r>
          </w:p>
        </w:tc>
        <w:tc>
          <w:tcPr>
            <w:tcW w:w="1180" w:type="dxa"/>
            <w:tcBorders>
              <w:top w:val="nil"/>
              <w:left w:val="nil"/>
              <w:bottom w:val="single" w:sz="4" w:space="0" w:color="auto"/>
              <w:right w:val="single" w:sz="4" w:space="0" w:color="auto"/>
            </w:tcBorders>
            <w:shd w:val="clear" w:color="000000" w:fill="FFFFFF"/>
            <w:vAlign w:val="bottom"/>
            <w:hideMark/>
          </w:tcPr>
          <w:p w14:paraId="6740F22F"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0.7</w:t>
            </w:r>
          </w:p>
        </w:tc>
        <w:tc>
          <w:tcPr>
            <w:tcW w:w="1460" w:type="dxa"/>
            <w:tcBorders>
              <w:top w:val="nil"/>
              <w:left w:val="nil"/>
              <w:bottom w:val="single" w:sz="4" w:space="0" w:color="auto"/>
              <w:right w:val="single" w:sz="4" w:space="0" w:color="auto"/>
            </w:tcBorders>
            <w:shd w:val="clear" w:color="auto" w:fill="auto"/>
            <w:noWrap/>
            <w:vAlign w:val="bottom"/>
            <w:hideMark/>
          </w:tcPr>
          <w:p w14:paraId="4197D8E1" w14:textId="179BF3C6" w:rsidR="007E7AF8" w:rsidRPr="00D32173" w:rsidRDefault="007E7AF8" w:rsidP="007E7AF8">
            <w:pPr>
              <w:spacing w:after="0" w:line="240" w:lineRule="auto"/>
              <w:jc w:val="center"/>
              <w:rPr>
                <w:rFonts w:ascii="BentonSans Book" w:eastAsia="Times New Roman" w:hAnsi="BentonSans Book" w:cs="Times New Roman"/>
              </w:rPr>
            </w:pPr>
            <w:r w:rsidRPr="007E7AF8">
              <w:rPr>
                <w:rFonts w:ascii="BentonSans Book" w:eastAsia="Times New Roman" w:hAnsi="BentonSans Book" w:cs="Times New Roman"/>
              </w:rPr>
              <w:t>60.3</w:t>
            </w:r>
          </w:p>
        </w:tc>
      </w:tr>
      <w:tr w:rsidR="007E7AF8" w:rsidRPr="00D32173" w14:paraId="6C3495C3" w14:textId="77777777" w:rsidTr="00D32173">
        <w:trPr>
          <w:trHeight w:val="300"/>
        </w:trPr>
        <w:tc>
          <w:tcPr>
            <w:tcW w:w="4400" w:type="dxa"/>
            <w:tcBorders>
              <w:top w:val="nil"/>
              <w:left w:val="single" w:sz="4" w:space="0" w:color="auto"/>
              <w:bottom w:val="single" w:sz="4" w:space="0" w:color="auto"/>
              <w:right w:val="single" w:sz="4" w:space="0" w:color="auto"/>
            </w:tcBorders>
            <w:shd w:val="clear" w:color="000000" w:fill="FFFFFF"/>
            <w:vAlign w:val="center"/>
            <w:hideMark/>
          </w:tcPr>
          <w:p w14:paraId="26F3C80F" w14:textId="77777777" w:rsidR="007E7AF8" w:rsidRPr="00D32173" w:rsidRDefault="007E7AF8" w:rsidP="007E7AF8">
            <w:pPr>
              <w:spacing w:after="0" w:line="240" w:lineRule="auto"/>
              <w:jc w:val="both"/>
              <w:rPr>
                <w:rFonts w:ascii="BentonSans Book" w:eastAsia="Times New Roman" w:hAnsi="BentonSans Book" w:cs="Times New Roman"/>
              </w:rPr>
            </w:pPr>
            <w:r w:rsidRPr="00D32173">
              <w:rPr>
                <w:rFonts w:ascii="BentonSans Book" w:eastAsia="Times New Roman" w:hAnsi="BentonSans Book" w:cs="Times New Roman"/>
              </w:rPr>
              <w:t>Manufacturing activities</w:t>
            </w:r>
          </w:p>
        </w:tc>
        <w:tc>
          <w:tcPr>
            <w:tcW w:w="1240" w:type="dxa"/>
            <w:tcBorders>
              <w:top w:val="nil"/>
              <w:left w:val="nil"/>
              <w:bottom w:val="single" w:sz="4" w:space="0" w:color="auto"/>
              <w:right w:val="single" w:sz="4" w:space="0" w:color="auto"/>
            </w:tcBorders>
            <w:shd w:val="clear" w:color="000000" w:fill="FFFFFF"/>
            <w:vAlign w:val="bottom"/>
            <w:hideMark/>
          </w:tcPr>
          <w:p w14:paraId="714EC149"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9</w:t>
            </w:r>
          </w:p>
        </w:tc>
        <w:tc>
          <w:tcPr>
            <w:tcW w:w="1120" w:type="dxa"/>
            <w:tcBorders>
              <w:top w:val="nil"/>
              <w:left w:val="nil"/>
              <w:bottom w:val="single" w:sz="4" w:space="0" w:color="auto"/>
              <w:right w:val="single" w:sz="4" w:space="0" w:color="auto"/>
            </w:tcBorders>
            <w:shd w:val="clear" w:color="000000" w:fill="FFFFFF"/>
            <w:vAlign w:val="bottom"/>
            <w:hideMark/>
          </w:tcPr>
          <w:p w14:paraId="755A058D"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13.9</w:t>
            </w:r>
          </w:p>
        </w:tc>
        <w:tc>
          <w:tcPr>
            <w:tcW w:w="1180" w:type="dxa"/>
            <w:tcBorders>
              <w:top w:val="nil"/>
              <w:left w:val="nil"/>
              <w:bottom w:val="single" w:sz="4" w:space="0" w:color="auto"/>
              <w:right w:val="single" w:sz="4" w:space="0" w:color="auto"/>
            </w:tcBorders>
            <w:shd w:val="clear" w:color="000000" w:fill="FFFFFF"/>
            <w:vAlign w:val="bottom"/>
            <w:hideMark/>
          </w:tcPr>
          <w:p w14:paraId="1993F221"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12.5</w:t>
            </w:r>
          </w:p>
        </w:tc>
        <w:tc>
          <w:tcPr>
            <w:tcW w:w="1460" w:type="dxa"/>
            <w:tcBorders>
              <w:top w:val="nil"/>
              <w:left w:val="nil"/>
              <w:bottom w:val="single" w:sz="4" w:space="0" w:color="auto"/>
              <w:right w:val="single" w:sz="4" w:space="0" w:color="auto"/>
            </w:tcBorders>
            <w:shd w:val="clear" w:color="auto" w:fill="auto"/>
            <w:noWrap/>
            <w:vAlign w:val="bottom"/>
            <w:hideMark/>
          </w:tcPr>
          <w:p w14:paraId="5BBC91DC" w14:textId="3FAF9035" w:rsidR="007E7AF8" w:rsidRPr="00D32173" w:rsidRDefault="007E7AF8" w:rsidP="007E7AF8">
            <w:pPr>
              <w:spacing w:after="0" w:line="240" w:lineRule="auto"/>
              <w:jc w:val="center"/>
              <w:rPr>
                <w:rFonts w:ascii="BentonSans Book" w:eastAsia="Times New Roman" w:hAnsi="BentonSans Book" w:cs="Times New Roman"/>
              </w:rPr>
            </w:pPr>
            <w:r w:rsidRPr="007E7AF8">
              <w:rPr>
                <w:rFonts w:ascii="BentonSans Book" w:eastAsia="Times New Roman" w:hAnsi="BentonSans Book" w:cs="Times New Roman"/>
              </w:rPr>
              <w:t>9.3</w:t>
            </w:r>
          </w:p>
        </w:tc>
      </w:tr>
      <w:tr w:rsidR="007E7AF8" w:rsidRPr="00D32173" w14:paraId="43C4203A" w14:textId="77777777" w:rsidTr="00D32173">
        <w:trPr>
          <w:trHeight w:val="300"/>
        </w:trPr>
        <w:tc>
          <w:tcPr>
            <w:tcW w:w="4400" w:type="dxa"/>
            <w:tcBorders>
              <w:top w:val="nil"/>
              <w:left w:val="single" w:sz="4" w:space="0" w:color="auto"/>
              <w:bottom w:val="single" w:sz="4" w:space="0" w:color="auto"/>
              <w:right w:val="single" w:sz="4" w:space="0" w:color="auto"/>
            </w:tcBorders>
            <w:shd w:val="clear" w:color="000000" w:fill="FFFFFF"/>
            <w:vAlign w:val="center"/>
            <w:hideMark/>
          </w:tcPr>
          <w:p w14:paraId="386248CF" w14:textId="77777777" w:rsidR="007E7AF8" w:rsidRPr="00D32173" w:rsidRDefault="007E7AF8" w:rsidP="007E7AF8">
            <w:pPr>
              <w:spacing w:after="0" w:line="240" w:lineRule="auto"/>
              <w:jc w:val="both"/>
              <w:rPr>
                <w:rFonts w:ascii="BentonSans Book" w:eastAsia="Times New Roman" w:hAnsi="BentonSans Book" w:cs="Times New Roman"/>
              </w:rPr>
            </w:pPr>
            <w:r w:rsidRPr="00D32173">
              <w:rPr>
                <w:rFonts w:ascii="BentonSans Book" w:eastAsia="Times New Roman" w:hAnsi="BentonSans Book" w:cs="Times New Roman"/>
              </w:rPr>
              <w:t>Water &amp; energy activities</w:t>
            </w:r>
          </w:p>
        </w:tc>
        <w:tc>
          <w:tcPr>
            <w:tcW w:w="1240" w:type="dxa"/>
            <w:tcBorders>
              <w:top w:val="nil"/>
              <w:left w:val="nil"/>
              <w:bottom w:val="single" w:sz="4" w:space="0" w:color="auto"/>
              <w:right w:val="single" w:sz="4" w:space="0" w:color="auto"/>
            </w:tcBorders>
            <w:shd w:val="clear" w:color="000000" w:fill="FFFFFF"/>
            <w:vAlign w:val="bottom"/>
            <w:hideMark/>
          </w:tcPr>
          <w:p w14:paraId="2D90077D"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0.2</w:t>
            </w:r>
          </w:p>
        </w:tc>
        <w:tc>
          <w:tcPr>
            <w:tcW w:w="1120" w:type="dxa"/>
            <w:tcBorders>
              <w:top w:val="nil"/>
              <w:left w:val="nil"/>
              <w:bottom w:val="single" w:sz="4" w:space="0" w:color="auto"/>
              <w:right w:val="single" w:sz="4" w:space="0" w:color="auto"/>
            </w:tcBorders>
            <w:shd w:val="clear" w:color="000000" w:fill="FFFFFF"/>
            <w:vAlign w:val="bottom"/>
            <w:hideMark/>
          </w:tcPr>
          <w:p w14:paraId="097C1B88"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0</w:t>
            </w:r>
          </w:p>
        </w:tc>
        <w:tc>
          <w:tcPr>
            <w:tcW w:w="1180" w:type="dxa"/>
            <w:tcBorders>
              <w:top w:val="nil"/>
              <w:left w:val="nil"/>
              <w:bottom w:val="single" w:sz="4" w:space="0" w:color="auto"/>
              <w:right w:val="single" w:sz="4" w:space="0" w:color="auto"/>
            </w:tcBorders>
            <w:shd w:val="clear" w:color="000000" w:fill="FFFFFF"/>
            <w:vAlign w:val="bottom"/>
            <w:hideMark/>
          </w:tcPr>
          <w:p w14:paraId="7938F111"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0</w:t>
            </w:r>
          </w:p>
        </w:tc>
        <w:tc>
          <w:tcPr>
            <w:tcW w:w="1460" w:type="dxa"/>
            <w:tcBorders>
              <w:top w:val="nil"/>
              <w:left w:val="nil"/>
              <w:bottom w:val="single" w:sz="4" w:space="0" w:color="auto"/>
              <w:right w:val="single" w:sz="4" w:space="0" w:color="auto"/>
            </w:tcBorders>
            <w:shd w:val="clear" w:color="auto" w:fill="auto"/>
            <w:noWrap/>
            <w:vAlign w:val="bottom"/>
            <w:hideMark/>
          </w:tcPr>
          <w:p w14:paraId="18851004" w14:textId="1632F608" w:rsidR="007E7AF8" w:rsidRPr="00D32173" w:rsidRDefault="007E7AF8" w:rsidP="007E7AF8">
            <w:pPr>
              <w:spacing w:after="0" w:line="240" w:lineRule="auto"/>
              <w:jc w:val="center"/>
              <w:rPr>
                <w:rFonts w:ascii="BentonSans Book" w:eastAsia="Times New Roman" w:hAnsi="BentonSans Book" w:cs="Times New Roman"/>
              </w:rPr>
            </w:pPr>
            <w:r w:rsidRPr="007E7AF8">
              <w:rPr>
                <w:rFonts w:ascii="BentonSans Book" w:eastAsia="Times New Roman" w:hAnsi="BentonSans Book" w:cs="Times New Roman"/>
              </w:rPr>
              <w:t>0.0</w:t>
            </w:r>
          </w:p>
        </w:tc>
      </w:tr>
      <w:tr w:rsidR="007E7AF8" w:rsidRPr="00D32173" w14:paraId="78B52227" w14:textId="77777777" w:rsidTr="00D32173">
        <w:trPr>
          <w:trHeight w:val="300"/>
        </w:trPr>
        <w:tc>
          <w:tcPr>
            <w:tcW w:w="4400" w:type="dxa"/>
            <w:tcBorders>
              <w:top w:val="nil"/>
              <w:left w:val="single" w:sz="4" w:space="0" w:color="auto"/>
              <w:bottom w:val="single" w:sz="4" w:space="0" w:color="auto"/>
              <w:right w:val="single" w:sz="4" w:space="0" w:color="auto"/>
            </w:tcBorders>
            <w:shd w:val="clear" w:color="000000" w:fill="FFFFFF"/>
            <w:vAlign w:val="center"/>
            <w:hideMark/>
          </w:tcPr>
          <w:p w14:paraId="56152271" w14:textId="77777777" w:rsidR="007E7AF8" w:rsidRPr="00D32173" w:rsidRDefault="007E7AF8" w:rsidP="007E7AF8">
            <w:pPr>
              <w:spacing w:after="0" w:line="240" w:lineRule="auto"/>
              <w:jc w:val="both"/>
              <w:rPr>
                <w:rFonts w:ascii="BentonSans Book" w:eastAsia="Times New Roman" w:hAnsi="BentonSans Book" w:cs="Times New Roman"/>
              </w:rPr>
            </w:pPr>
            <w:r w:rsidRPr="00D32173">
              <w:rPr>
                <w:rFonts w:ascii="BentonSans Book" w:eastAsia="Times New Roman" w:hAnsi="BentonSans Book" w:cs="Times New Roman"/>
              </w:rPr>
              <w:t>Mortgage industries</w:t>
            </w:r>
          </w:p>
        </w:tc>
        <w:tc>
          <w:tcPr>
            <w:tcW w:w="1240" w:type="dxa"/>
            <w:tcBorders>
              <w:top w:val="nil"/>
              <w:left w:val="nil"/>
              <w:bottom w:val="single" w:sz="4" w:space="0" w:color="auto"/>
              <w:right w:val="single" w:sz="4" w:space="0" w:color="auto"/>
            </w:tcBorders>
            <w:shd w:val="clear" w:color="000000" w:fill="FFFFFF"/>
            <w:vAlign w:val="bottom"/>
            <w:hideMark/>
          </w:tcPr>
          <w:p w14:paraId="03D72CEF"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8.2</w:t>
            </w:r>
          </w:p>
        </w:tc>
        <w:tc>
          <w:tcPr>
            <w:tcW w:w="1120" w:type="dxa"/>
            <w:tcBorders>
              <w:top w:val="nil"/>
              <w:left w:val="nil"/>
              <w:bottom w:val="single" w:sz="4" w:space="0" w:color="auto"/>
              <w:right w:val="single" w:sz="4" w:space="0" w:color="auto"/>
            </w:tcBorders>
            <w:shd w:val="clear" w:color="000000" w:fill="FFFFFF"/>
            <w:vAlign w:val="bottom"/>
            <w:hideMark/>
          </w:tcPr>
          <w:p w14:paraId="70E3852B"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4.5</w:t>
            </w:r>
          </w:p>
        </w:tc>
        <w:tc>
          <w:tcPr>
            <w:tcW w:w="1180" w:type="dxa"/>
            <w:tcBorders>
              <w:top w:val="nil"/>
              <w:left w:val="nil"/>
              <w:bottom w:val="single" w:sz="4" w:space="0" w:color="auto"/>
              <w:right w:val="single" w:sz="4" w:space="0" w:color="auto"/>
            </w:tcBorders>
            <w:shd w:val="clear" w:color="000000" w:fill="FFFFFF"/>
            <w:vAlign w:val="bottom"/>
            <w:hideMark/>
          </w:tcPr>
          <w:p w14:paraId="6378B33D"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4.8</w:t>
            </w:r>
          </w:p>
        </w:tc>
        <w:tc>
          <w:tcPr>
            <w:tcW w:w="1460" w:type="dxa"/>
            <w:tcBorders>
              <w:top w:val="nil"/>
              <w:left w:val="nil"/>
              <w:bottom w:val="single" w:sz="4" w:space="0" w:color="auto"/>
              <w:right w:val="single" w:sz="4" w:space="0" w:color="auto"/>
            </w:tcBorders>
            <w:shd w:val="clear" w:color="auto" w:fill="auto"/>
            <w:noWrap/>
            <w:vAlign w:val="bottom"/>
            <w:hideMark/>
          </w:tcPr>
          <w:p w14:paraId="2881054D" w14:textId="180CA858" w:rsidR="007E7AF8" w:rsidRPr="00D32173" w:rsidRDefault="007E7AF8" w:rsidP="007E7AF8">
            <w:pPr>
              <w:spacing w:after="0" w:line="240" w:lineRule="auto"/>
              <w:jc w:val="center"/>
              <w:rPr>
                <w:rFonts w:ascii="BentonSans Book" w:eastAsia="Times New Roman" w:hAnsi="BentonSans Book" w:cs="Times New Roman"/>
              </w:rPr>
            </w:pPr>
            <w:r w:rsidRPr="007E7AF8">
              <w:rPr>
                <w:rFonts w:ascii="BentonSans Book" w:eastAsia="Times New Roman" w:hAnsi="BentonSans Book" w:cs="Times New Roman"/>
              </w:rPr>
              <w:t>4.3</w:t>
            </w:r>
          </w:p>
        </w:tc>
      </w:tr>
      <w:tr w:rsidR="007E7AF8" w:rsidRPr="00D32173" w14:paraId="2FF02178" w14:textId="77777777" w:rsidTr="00D32173">
        <w:trPr>
          <w:trHeight w:val="300"/>
        </w:trPr>
        <w:tc>
          <w:tcPr>
            <w:tcW w:w="4400" w:type="dxa"/>
            <w:tcBorders>
              <w:top w:val="nil"/>
              <w:left w:val="single" w:sz="4" w:space="0" w:color="auto"/>
              <w:bottom w:val="single" w:sz="4" w:space="0" w:color="auto"/>
              <w:right w:val="single" w:sz="4" w:space="0" w:color="auto"/>
            </w:tcBorders>
            <w:shd w:val="clear" w:color="000000" w:fill="FFFFFF"/>
            <w:vAlign w:val="center"/>
            <w:hideMark/>
          </w:tcPr>
          <w:p w14:paraId="57EC216F" w14:textId="77777777" w:rsidR="007E7AF8" w:rsidRPr="00D32173" w:rsidRDefault="007E7AF8" w:rsidP="007E7AF8">
            <w:pPr>
              <w:spacing w:after="0" w:line="240" w:lineRule="auto"/>
              <w:jc w:val="both"/>
              <w:rPr>
                <w:rFonts w:ascii="BentonSans Book" w:eastAsia="Times New Roman" w:hAnsi="BentonSans Book" w:cs="Times New Roman"/>
              </w:rPr>
            </w:pPr>
            <w:r w:rsidRPr="00D32173">
              <w:rPr>
                <w:rFonts w:ascii="BentonSans Book" w:eastAsia="Times New Roman" w:hAnsi="BentonSans Book" w:cs="Times New Roman"/>
              </w:rPr>
              <w:t>Trade</w:t>
            </w:r>
          </w:p>
        </w:tc>
        <w:tc>
          <w:tcPr>
            <w:tcW w:w="1240" w:type="dxa"/>
            <w:tcBorders>
              <w:top w:val="nil"/>
              <w:left w:val="nil"/>
              <w:bottom w:val="single" w:sz="4" w:space="0" w:color="auto"/>
              <w:right w:val="single" w:sz="4" w:space="0" w:color="auto"/>
            </w:tcBorders>
            <w:shd w:val="clear" w:color="000000" w:fill="FFFFFF"/>
            <w:vAlign w:val="bottom"/>
            <w:hideMark/>
          </w:tcPr>
          <w:p w14:paraId="18CB957D"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12.3</w:t>
            </w:r>
          </w:p>
        </w:tc>
        <w:tc>
          <w:tcPr>
            <w:tcW w:w="1120" w:type="dxa"/>
            <w:tcBorders>
              <w:top w:val="nil"/>
              <w:left w:val="nil"/>
              <w:bottom w:val="single" w:sz="4" w:space="0" w:color="auto"/>
              <w:right w:val="single" w:sz="4" w:space="0" w:color="auto"/>
            </w:tcBorders>
            <w:shd w:val="clear" w:color="000000" w:fill="FFFFFF"/>
            <w:vAlign w:val="bottom"/>
            <w:hideMark/>
          </w:tcPr>
          <w:p w14:paraId="5532A10B"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12</w:t>
            </w:r>
          </w:p>
        </w:tc>
        <w:tc>
          <w:tcPr>
            <w:tcW w:w="1180" w:type="dxa"/>
            <w:tcBorders>
              <w:top w:val="nil"/>
              <w:left w:val="nil"/>
              <w:bottom w:val="single" w:sz="4" w:space="0" w:color="auto"/>
              <w:right w:val="single" w:sz="4" w:space="0" w:color="auto"/>
            </w:tcBorders>
            <w:shd w:val="clear" w:color="000000" w:fill="FFFFFF"/>
            <w:vAlign w:val="bottom"/>
            <w:hideMark/>
          </w:tcPr>
          <w:p w14:paraId="12590B86"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11.6</w:t>
            </w:r>
          </w:p>
        </w:tc>
        <w:tc>
          <w:tcPr>
            <w:tcW w:w="1460" w:type="dxa"/>
            <w:tcBorders>
              <w:top w:val="nil"/>
              <w:left w:val="nil"/>
              <w:bottom w:val="single" w:sz="4" w:space="0" w:color="auto"/>
              <w:right w:val="single" w:sz="4" w:space="0" w:color="auto"/>
            </w:tcBorders>
            <w:shd w:val="clear" w:color="auto" w:fill="auto"/>
            <w:noWrap/>
            <w:vAlign w:val="bottom"/>
            <w:hideMark/>
          </w:tcPr>
          <w:p w14:paraId="7D1BD610" w14:textId="5E9975CA" w:rsidR="007E7AF8" w:rsidRPr="00D32173" w:rsidRDefault="007E7AF8" w:rsidP="007E7AF8">
            <w:pPr>
              <w:spacing w:after="0" w:line="240" w:lineRule="auto"/>
              <w:jc w:val="center"/>
              <w:rPr>
                <w:rFonts w:ascii="BentonSans Book" w:eastAsia="Times New Roman" w:hAnsi="BentonSans Book" w:cs="Times New Roman"/>
              </w:rPr>
            </w:pPr>
            <w:r w:rsidRPr="007E7AF8">
              <w:rPr>
                <w:rFonts w:ascii="BentonSans Book" w:eastAsia="Times New Roman" w:hAnsi="BentonSans Book" w:cs="Times New Roman"/>
              </w:rPr>
              <w:t>11.4</w:t>
            </w:r>
          </w:p>
        </w:tc>
      </w:tr>
      <w:tr w:rsidR="007E7AF8" w:rsidRPr="00D32173" w14:paraId="4D428A4A" w14:textId="77777777" w:rsidTr="00D32173">
        <w:trPr>
          <w:trHeight w:val="300"/>
        </w:trPr>
        <w:tc>
          <w:tcPr>
            <w:tcW w:w="4400" w:type="dxa"/>
            <w:tcBorders>
              <w:top w:val="nil"/>
              <w:left w:val="single" w:sz="4" w:space="0" w:color="auto"/>
              <w:bottom w:val="single" w:sz="4" w:space="0" w:color="auto"/>
              <w:right w:val="single" w:sz="4" w:space="0" w:color="auto"/>
            </w:tcBorders>
            <w:shd w:val="clear" w:color="000000" w:fill="FFFFFF"/>
            <w:vAlign w:val="center"/>
            <w:hideMark/>
          </w:tcPr>
          <w:p w14:paraId="2A40C399" w14:textId="77777777" w:rsidR="007E7AF8" w:rsidRPr="00D32173" w:rsidRDefault="007E7AF8" w:rsidP="007E7AF8">
            <w:pPr>
              <w:spacing w:after="0" w:line="240" w:lineRule="auto"/>
              <w:jc w:val="both"/>
              <w:rPr>
                <w:rFonts w:ascii="BentonSans Book" w:eastAsia="Times New Roman" w:hAnsi="BentonSans Book" w:cs="Times New Roman"/>
              </w:rPr>
            </w:pPr>
            <w:r w:rsidRPr="00D32173">
              <w:rPr>
                <w:rFonts w:ascii="BentonSans Book" w:eastAsia="Times New Roman" w:hAnsi="BentonSans Book" w:cs="Times New Roman"/>
              </w:rPr>
              <w:t>Hotels and Restaurants</w:t>
            </w:r>
          </w:p>
        </w:tc>
        <w:tc>
          <w:tcPr>
            <w:tcW w:w="1240" w:type="dxa"/>
            <w:tcBorders>
              <w:top w:val="nil"/>
              <w:left w:val="nil"/>
              <w:bottom w:val="single" w:sz="4" w:space="0" w:color="auto"/>
              <w:right w:val="single" w:sz="4" w:space="0" w:color="auto"/>
            </w:tcBorders>
            <w:shd w:val="clear" w:color="000000" w:fill="FFFFFF"/>
            <w:vAlign w:val="bottom"/>
            <w:hideMark/>
          </w:tcPr>
          <w:p w14:paraId="119C979B"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9.4</w:t>
            </w:r>
          </w:p>
        </w:tc>
        <w:tc>
          <w:tcPr>
            <w:tcW w:w="1120" w:type="dxa"/>
            <w:tcBorders>
              <w:top w:val="nil"/>
              <w:left w:val="nil"/>
              <w:bottom w:val="single" w:sz="4" w:space="0" w:color="auto"/>
              <w:right w:val="single" w:sz="4" w:space="0" w:color="auto"/>
            </w:tcBorders>
            <w:shd w:val="clear" w:color="000000" w:fill="FFFFFF"/>
            <w:vAlign w:val="bottom"/>
            <w:hideMark/>
          </w:tcPr>
          <w:p w14:paraId="3F70D2AD"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11.6</w:t>
            </w:r>
          </w:p>
        </w:tc>
        <w:tc>
          <w:tcPr>
            <w:tcW w:w="1180" w:type="dxa"/>
            <w:tcBorders>
              <w:top w:val="nil"/>
              <w:left w:val="nil"/>
              <w:bottom w:val="single" w:sz="4" w:space="0" w:color="auto"/>
              <w:right w:val="single" w:sz="4" w:space="0" w:color="auto"/>
            </w:tcBorders>
            <w:shd w:val="clear" w:color="000000" w:fill="FFFFFF"/>
            <w:vAlign w:val="bottom"/>
            <w:hideMark/>
          </w:tcPr>
          <w:p w14:paraId="664F079E"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11.4</w:t>
            </w:r>
          </w:p>
        </w:tc>
        <w:tc>
          <w:tcPr>
            <w:tcW w:w="1460" w:type="dxa"/>
            <w:tcBorders>
              <w:top w:val="nil"/>
              <w:left w:val="nil"/>
              <w:bottom w:val="single" w:sz="4" w:space="0" w:color="auto"/>
              <w:right w:val="single" w:sz="4" w:space="0" w:color="auto"/>
            </w:tcBorders>
            <w:shd w:val="clear" w:color="auto" w:fill="auto"/>
            <w:noWrap/>
            <w:vAlign w:val="bottom"/>
            <w:hideMark/>
          </w:tcPr>
          <w:p w14:paraId="00E43143" w14:textId="3FD25E60" w:rsidR="007E7AF8" w:rsidRPr="00D32173" w:rsidRDefault="007E7AF8" w:rsidP="007E7AF8">
            <w:pPr>
              <w:spacing w:after="0" w:line="240" w:lineRule="auto"/>
              <w:jc w:val="center"/>
              <w:rPr>
                <w:rFonts w:ascii="BentonSans Book" w:eastAsia="Times New Roman" w:hAnsi="BentonSans Book" w:cs="Times New Roman"/>
              </w:rPr>
            </w:pPr>
            <w:r w:rsidRPr="007E7AF8">
              <w:rPr>
                <w:rFonts w:ascii="BentonSans Book" w:eastAsia="Times New Roman" w:hAnsi="BentonSans Book" w:cs="Times New Roman"/>
              </w:rPr>
              <w:t>9.7</w:t>
            </w:r>
          </w:p>
        </w:tc>
      </w:tr>
      <w:tr w:rsidR="007E7AF8" w:rsidRPr="00D32173" w14:paraId="0B43BCE8" w14:textId="77777777" w:rsidTr="00D32173">
        <w:trPr>
          <w:trHeight w:val="300"/>
        </w:trPr>
        <w:tc>
          <w:tcPr>
            <w:tcW w:w="4400" w:type="dxa"/>
            <w:tcBorders>
              <w:top w:val="nil"/>
              <w:left w:val="single" w:sz="4" w:space="0" w:color="auto"/>
              <w:bottom w:val="single" w:sz="4" w:space="0" w:color="auto"/>
              <w:right w:val="single" w:sz="4" w:space="0" w:color="auto"/>
            </w:tcBorders>
            <w:shd w:val="clear" w:color="000000" w:fill="FFFFFF"/>
            <w:vAlign w:val="center"/>
            <w:hideMark/>
          </w:tcPr>
          <w:p w14:paraId="0CC02682" w14:textId="4A89B715" w:rsidR="007E7AF8" w:rsidRPr="00D32173" w:rsidRDefault="00F75237" w:rsidP="007E7AF8">
            <w:pPr>
              <w:spacing w:after="0" w:line="240" w:lineRule="auto"/>
              <w:jc w:val="both"/>
              <w:rPr>
                <w:rFonts w:ascii="BentonSans Book" w:eastAsia="Times New Roman" w:hAnsi="BentonSans Book" w:cs="Times New Roman"/>
              </w:rPr>
            </w:pPr>
            <w:r>
              <w:rPr>
                <w:rFonts w:ascii="BentonSans Book" w:eastAsia="Times New Roman" w:hAnsi="BentonSans Book" w:cs="Times New Roman"/>
              </w:rPr>
              <w:t>Transport &amp; communication</w:t>
            </w:r>
          </w:p>
        </w:tc>
        <w:tc>
          <w:tcPr>
            <w:tcW w:w="1240" w:type="dxa"/>
            <w:tcBorders>
              <w:top w:val="nil"/>
              <w:left w:val="nil"/>
              <w:bottom w:val="single" w:sz="4" w:space="0" w:color="auto"/>
              <w:right w:val="single" w:sz="4" w:space="0" w:color="auto"/>
            </w:tcBorders>
            <w:shd w:val="clear" w:color="000000" w:fill="FFFFFF"/>
            <w:vAlign w:val="bottom"/>
            <w:hideMark/>
          </w:tcPr>
          <w:p w14:paraId="4291FE33"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3.4</w:t>
            </w:r>
          </w:p>
        </w:tc>
        <w:tc>
          <w:tcPr>
            <w:tcW w:w="1120" w:type="dxa"/>
            <w:tcBorders>
              <w:top w:val="nil"/>
              <w:left w:val="nil"/>
              <w:bottom w:val="single" w:sz="4" w:space="0" w:color="auto"/>
              <w:right w:val="single" w:sz="4" w:space="0" w:color="auto"/>
            </w:tcBorders>
            <w:shd w:val="clear" w:color="000000" w:fill="FFFFFF"/>
            <w:vAlign w:val="bottom"/>
            <w:hideMark/>
          </w:tcPr>
          <w:p w14:paraId="75D1D479"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2.4</w:t>
            </w:r>
          </w:p>
        </w:tc>
        <w:tc>
          <w:tcPr>
            <w:tcW w:w="1180" w:type="dxa"/>
            <w:tcBorders>
              <w:top w:val="nil"/>
              <w:left w:val="nil"/>
              <w:bottom w:val="single" w:sz="4" w:space="0" w:color="auto"/>
              <w:right w:val="single" w:sz="4" w:space="0" w:color="auto"/>
            </w:tcBorders>
            <w:shd w:val="clear" w:color="000000" w:fill="FFFFFF"/>
            <w:vAlign w:val="bottom"/>
            <w:hideMark/>
          </w:tcPr>
          <w:p w14:paraId="0DD12005"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2.6</w:t>
            </w:r>
          </w:p>
        </w:tc>
        <w:tc>
          <w:tcPr>
            <w:tcW w:w="1460" w:type="dxa"/>
            <w:tcBorders>
              <w:top w:val="nil"/>
              <w:left w:val="nil"/>
              <w:bottom w:val="single" w:sz="4" w:space="0" w:color="auto"/>
              <w:right w:val="single" w:sz="4" w:space="0" w:color="auto"/>
            </w:tcBorders>
            <w:shd w:val="clear" w:color="auto" w:fill="auto"/>
            <w:noWrap/>
            <w:vAlign w:val="bottom"/>
            <w:hideMark/>
          </w:tcPr>
          <w:p w14:paraId="2AC60F3F" w14:textId="0CE893C2" w:rsidR="007E7AF8" w:rsidRPr="00D32173" w:rsidRDefault="007E7AF8" w:rsidP="007E7AF8">
            <w:pPr>
              <w:spacing w:after="0" w:line="240" w:lineRule="auto"/>
              <w:jc w:val="center"/>
              <w:rPr>
                <w:rFonts w:ascii="BentonSans Book" w:eastAsia="Times New Roman" w:hAnsi="BentonSans Book" w:cs="Times New Roman"/>
              </w:rPr>
            </w:pPr>
            <w:r w:rsidRPr="007E7AF8">
              <w:rPr>
                <w:rFonts w:ascii="BentonSans Book" w:eastAsia="Times New Roman" w:hAnsi="BentonSans Book" w:cs="Times New Roman"/>
              </w:rPr>
              <w:t>2.9</w:t>
            </w:r>
          </w:p>
        </w:tc>
      </w:tr>
      <w:tr w:rsidR="007E7AF8" w:rsidRPr="00D32173" w14:paraId="4F556DB6" w14:textId="77777777" w:rsidTr="00D32173">
        <w:trPr>
          <w:trHeight w:val="300"/>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40B2BBAA" w14:textId="77777777" w:rsidR="007E7AF8" w:rsidRPr="00D32173" w:rsidRDefault="007E7AF8" w:rsidP="007E7AF8">
            <w:pPr>
              <w:spacing w:after="0" w:line="240" w:lineRule="auto"/>
              <w:jc w:val="both"/>
              <w:rPr>
                <w:rFonts w:ascii="BentonSans Book" w:eastAsia="Times New Roman" w:hAnsi="BentonSans Book" w:cs="Times New Roman"/>
              </w:rPr>
            </w:pPr>
            <w:r w:rsidRPr="00D32173">
              <w:rPr>
                <w:rFonts w:ascii="BentonSans Book" w:eastAsia="Times New Roman" w:hAnsi="BentonSans Book" w:cs="Times New Roman"/>
              </w:rPr>
              <w:t>OFI &amp;Insurance</w:t>
            </w:r>
          </w:p>
        </w:tc>
        <w:tc>
          <w:tcPr>
            <w:tcW w:w="1240" w:type="dxa"/>
            <w:tcBorders>
              <w:top w:val="nil"/>
              <w:left w:val="nil"/>
              <w:bottom w:val="single" w:sz="4" w:space="0" w:color="auto"/>
              <w:right w:val="single" w:sz="4" w:space="0" w:color="auto"/>
            </w:tcBorders>
            <w:shd w:val="clear" w:color="000000" w:fill="FFFFFF"/>
            <w:vAlign w:val="bottom"/>
            <w:hideMark/>
          </w:tcPr>
          <w:p w14:paraId="23D6491E"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0.2</w:t>
            </w:r>
          </w:p>
        </w:tc>
        <w:tc>
          <w:tcPr>
            <w:tcW w:w="1120" w:type="dxa"/>
            <w:tcBorders>
              <w:top w:val="nil"/>
              <w:left w:val="nil"/>
              <w:bottom w:val="single" w:sz="4" w:space="0" w:color="auto"/>
              <w:right w:val="single" w:sz="4" w:space="0" w:color="auto"/>
            </w:tcBorders>
            <w:shd w:val="clear" w:color="000000" w:fill="FFFFFF"/>
            <w:vAlign w:val="bottom"/>
            <w:hideMark/>
          </w:tcPr>
          <w:p w14:paraId="6EBFCE00"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0.2</w:t>
            </w:r>
          </w:p>
        </w:tc>
        <w:tc>
          <w:tcPr>
            <w:tcW w:w="1180" w:type="dxa"/>
            <w:tcBorders>
              <w:top w:val="nil"/>
              <w:left w:val="nil"/>
              <w:bottom w:val="single" w:sz="4" w:space="0" w:color="auto"/>
              <w:right w:val="single" w:sz="4" w:space="0" w:color="auto"/>
            </w:tcBorders>
            <w:shd w:val="clear" w:color="000000" w:fill="FFFFFF"/>
            <w:vAlign w:val="bottom"/>
            <w:hideMark/>
          </w:tcPr>
          <w:p w14:paraId="4F4EC87D"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0.3</w:t>
            </w:r>
          </w:p>
        </w:tc>
        <w:tc>
          <w:tcPr>
            <w:tcW w:w="1460" w:type="dxa"/>
            <w:tcBorders>
              <w:top w:val="nil"/>
              <w:left w:val="nil"/>
              <w:bottom w:val="single" w:sz="4" w:space="0" w:color="auto"/>
              <w:right w:val="single" w:sz="4" w:space="0" w:color="auto"/>
            </w:tcBorders>
            <w:shd w:val="clear" w:color="auto" w:fill="auto"/>
            <w:noWrap/>
            <w:vAlign w:val="bottom"/>
            <w:hideMark/>
          </w:tcPr>
          <w:p w14:paraId="1C6E523B" w14:textId="32ACC812" w:rsidR="007E7AF8" w:rsidRPr="00D32173" w:rsidRDefault="007E7AF8" w:rsidP="007E7AF8">
            <w:pPr>
              <w:spacing w:after="0" w:line="240" w:lineRule="auto"/>
              <w:jc w:val="center"/>
              <w:rPr>
                <w:rFonts w:ascii="BentonSans Book" w:eastAsia="Times New Roman" w:hAnsi="BentonSans Book" w:cs="Times New Roman"/>
              </w:rPr>
            </w:pPr>
            <w:r w:rsidRPr="007E7AF8">
              <w:rPr>
                <w:rFonts w:ascii="BentonSans Book" w:eastAsia="Times New Roman" w:hAnsi="BentonSans Book" w:cs="Times New Roman"/>
              </w:rPr>
              <w:t>3.7</w:t>
            </w:r>
          </w:p>
        </w:tc>
      </w:tr>
      <w:tr w:rsidR="007E7AF8" w:rsidRPr="00D32173" w14:paraId="2D071620" w14:textId="77777777" w:rsidTr="00D32173">
        <w:trPr>
          <w:trHeight w:val="300"/>
        </w:trPr>
        <w:tc>
          <w:tcPr>
            <w:tcW w:w="4400" w:type="dxa"/>
            <w:tcBorders>
              <w:top w:val="nil"/>
              <w:left w:val="single" w:sz="4" w:space="0" w:color="auto"/>
              <w:bottom w:val="single" w:sz="4" w:space="0" w:color="auto"/>
              <w:right w:val="single" w:sz="4" w:space="0" w:color="auto"/>
            </w:tcBorders>
            <w:shd w:val="clear" w:color="auto" w:fill="auto"/>
            <w:vAlign w:val="center"/>
            <w:hideMark/>
          </w:tcPr>
          <w:p w14:paraId="1B5EB583" w14:textId="77777777" w:rsidR="007E7AF8" w:rsidRPr="00D32173" w:rsidRDefault="007E7AF8" w:rsidP="007E7AF8">
            <w:pPr>
              <w:spacing w:after="0" w:line="240" w:lineRule="auto"/>
              <w:jc w:val="both"/>
              <w:rPr>
                <w:rFonts w:ascii="BentonSans Book" w:eastAsia="Times New Roman" w:hAnsi="BentonSans Book" w:cs="Times New Roman"/>
              </w:rPr>
            </w:pPr>
            <w:r w:rsidRPr="00D32173">
              <w:rPr>
                <w:rFonts w:ascii="BentonSans Book" w:eastAsia="Times New Roman" w:hAnsi="BentonSans Book" w:cs="Times New Roman"/>
              </w:rPr>
              <w:t>Other Services</w:t>
            </w:r>
          </w:p>
        </w:tc>
        <w:tc>
          <w:tcPr>
            <w:tcW w:w="1240" w:type="dxa"/>
            <w:tcBorders>
              <w:top w:val="nil"/>
              <w:left w:val="nil"/>
              <w:bottom w:val="single" w:sz="4" w:space="0" w:color="auto"/>
              <w:right w:val="single" w:sz="4" w:space="0" w:color="auto"/>
            </w:tcBorders>
            <w:shd w:val="clear" w:color="000000" w:fill="FFFFFF"/>
            <w:vAlign w:val="bottom"/>
            <w:hideMark/>
          </w:tcPr>
          <w:p w14:paraId="1B6626A1"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8</w:t>
            </w:r>
          </w:p>
        </w:tc>
        <w:tc>
          <w:tcPr>
            <w:tcW w:w="1120" w:type="dxa"/>
            <w:tcBorders>
              <w:top w:val="nil"/>
              <w:left w:val="nil"/>
              <w:bottom w:val="single" w:sz="4" w:space="0" w:color="auto"/>
              <w:right w:val="single" w:sz="4" w:space="0" w:color="auto"/>
            </w:tcBorders>
            <w:shd w:val="clear" w:color="000000" w:fill="FFFFFF"/>
            <w:vAlign w:val="bottom"/>
            <w:hideMark/>
          </w:tcPr>
          <w:p w14:paraId="38E49F44"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11.2</w:t>
            </w:r>
          </w:p>
        </w:tc>
        <w:tc>
          <w:tcPr>
            <w:tcW w:w="1180" w:type="dxa"/>
            <w:tcBorders>
              <w:top w:val="nil"/>
              <w:left w:val="nil"/>
              <w:bottom w:val="single" w:sz="4" w:space="0" w:color="auto"/>
              <w:right w:val="single" w:sz="4" w:space="0" w:color="auto"/>
            </w:tcBorders>
            <w:shd w:val="clear" w:color="000000" w:fill="FFFFFF"/>
            <w:vAlign w:val="bottom"/>
            <w:hideMark/>
          </w:tcPr>
          <w:p w14:paraId="35BED70F" w14:textId="77777777" w:rsidR="007E7AF8" w:rsidRPr="00D32173" w:rsidRDefault="007E7AF8" w:rsidP="007E7AF8">
            <w:pPr>
              <w:spacing w:after="0" w:line="240" w:lineRule="auto"/>
              <w:jc w:val="center"/>
              <w:rPr>
                <w:rFonts w:ascii="BentonSans Book" w:eastAsia="Times New Roman" w:hAnsi="BentonSans Book" w:cs="Times New Roman"/>
              </w:rPr>
            </w:pPr>
            <w:r w:rsidRPr="00D32173">
              <w:rPr>
                <w:rFonts w:ascii="BentonSans Book" w:eastAsia="Times New Roman" w:hAnsi="BentonSans Book" w:cs="Times New Roman"/>
              </w:rPr>
              <w:t>9</w:t>
            </w:r>
          </w:p>
        </w:tc>
        <w:tc>
          <w:tcPr>
            <w:tcW w:w="1460" w:type="dxa"/>
            <w:tcBorders>
              <w:top w:val="nil"/>
              <w:left w:val="nil"/>
              <w:bottom w:val="single" w:sz="4" w:space="0" w:color="auto"/>
              <w:right w:val="single" w:sz="4" w:space="0" w:color="auto"/>
            </w:tcBorders>
            <w:shd w:val="clear" w:color="auto" w:fill="auto"/>
            <w:noWrap/>
            <w:vAlign w:val="bottom"/>
            <w:hideMark/>
          </w:tcPr>
          <w:p w14:paraId="754D2EBE" w14:textId="4D0B9F3E" w:rsidR="007E7AF8" w:rsidRPr="00D32173" w:rsidRDefault="007E7AF8" w:rsidP="007E7AF8">
            <w:pPr>
              <w:spacing w:after="0" w:line="240" w:lineRule="auto"/>
              <w:jc w:val="center"/>
              <w:rPr>
                <w:rFonts w:ascii="BentonSans Book" w:eastAsia="Times New Roman" w:hAnsi="BentonSans Book" w:cs="Times New Roman"/>
              </w:rPr>
            </w:pPr>
            <w:r w:rsidRPr="007E7AF8">
              <w:rPr>
                <w:rFonts w:ascii="BentonSans Book" w:eastAsia="Times New Roman" w:hAnsi="BentonSans Book" w:cs="Times New Roman"/>
              </w:rPr>
              <w:t>10.7</w:t>
            </w:r>
          </w:p>
        </w:tc>
      </w:tr>
    </w:tbl>
    <w:p w14:paraId="2EE8C975" w14:textId="3450D153" w:rsidR="00D32173" w:rsidRDefault="0088665D" w:rsidP="001F143C">
      <w:r w:rsidRPr="009D1113">
        <w:rPr>
          <w:rFonts w:ascii="BentonSans Book" w:hAnsi="BentonSans Book"/>
          <w:b/>
        </w:rPr>
        <w:t>Source:</w:t>
      </w:r>
      <w:r w:rsidRPr="009D1113">
        <w:rPr>
          <w:rFonts w:ascii="BentonSans Book" w:hAnsi="BentonSans Book"/>
        </w:rPr>
        <w:t xml:space="preserve"> Credit Survey Findings</w:t>
      </w:r>
    </w:p>
    <w:p w14:paraId="2A0923D4" w14:textId="77777777" w:rsidR="0088665D" w:rsidRDefault="0088665D" w:rsidP="00D169DD">
      <w:pPr>
        <w:rPr>
          <w:rFonts w:ascii="BentonSans Book" w:hAnsi="BentonSans Book"/>
          <w:b/>
        </w:rPr>
      </w:pPr>
    </w:p>
    <w:p w14:paraId="7AE53498" w14:textId="7F102930" w:rsidR="00E75BAA" w:rsidRPr="00B709F4" w:rsidRDefault="00ED0A01" w:rsidP="00870E7F">
      <w:pPr>
        <w:spacing w:line="276" w:lineRule="auto"/>
        <w:rPr>
          <w:rFonts w:ascii="BentonSans Black" w:hAnsi="BentonSans Black"/>
        </w:rPr>
      </w:pPr>
      <w:r w:rsidRPr="00B709F4">
        <w:rPr>
          <w:rFonts w:ascii="BentonSans Black" w:hAnsi="BentonSans Black"/>
          <w:b/>
        </w:rPr>
        <w:t xml:space="preserve">2.3 </w:t>
      </w:r>
      <w:r w:rsidR="009205CC" w:rsidRPr="00B709F4">
        <w:rPr>
          <w:rFonts w:ascii="BentonSans Black" w:hAnsi="BentonSans Black"/>
          <w:b/>
        </w:rPr>
        <w:t xml:space="preserve">Credit </w:t>
      </w:r>
      <w:r w:rsidRPr="00B709F4">
        <w:rPr>
          <w:rFonts w:ascii="BentonSans Black" w:hAnsi="BentonSans Black"/>
          <w:b/>
        </w:rPr>
        <w:t xml:space="preserve">Standards, </w:t>
      </w:r>
      <w:r w:rsidR="009205CC" w:rsidRPr="00B709F4">
        <w:rPr>
          <w:rFonts w:ascii="BentonSans Black" w:hAnsi="BentonSans Black"/>
          <w:b/>
        </w:rPr>
        <w:t>Terms</w:t>
      </w:r>
      <w:r w:rsidR="00E75BAA" w:rsidRPr="00B709F4">
        <w:rPr>
          <w:rFonts w:ascii="BentonSans Black" w:hAnsi="BentonSans Black"/>
          <w:b/>
        </w:rPr>
        <w:t xml:space="preserve"> and Conditions</w:t>
      </w:r>
    </w:p>
    <w:p w14:paraId="00CD7D7F" w14:textId="2BEB46BE" w:rsidR="005F16F3" w:rsidRDefault="00D169DD" w:rsidP="00870E7F">
      <w:pPr>
        <w:spacing w:line="276" w:lineRule="auto"/>
        <w:jc w:val="both"/>
        <w:rPr>
          <w:rFonts w:ascii="BentonSans Book" w:hAnsi="BentonSans Book"/>
        </w:rPr>
      </w:pPr>
      <w:r w:rsidRPr="00D169DD">
        <w:rPr>
          <w:rFonts w:ascii="BentonSans Book" w:hAnsi="BentonSans Book"/>
        </w:rPr>
        <w:t xml:space="preserve">Credit standards consist of internal banking guidelines which will </w:t>
      </w:r>
      <w:r w:rsidR="00445F7F" w:rsidRPr="00D169DD">
        <w:rPr>
          <w:rFonts w:ascii="BentonSans Book" w:hAnsi="BentonSans Book"/>
        </w:rPr>
        <w:t>determine what</w:t>
      </w:r>
      <w:r w:rsidRPr="00D169DD">
        <w:rPr>
          <w:rFonts w:ascii="BentonSans Book" w:hAnsi="BentonSans Book"/>
        </w:rPr>
        <w:t xml:space="preserve"> type of loa</w:t>
      </w:r>
      <w:r w:rsidR="00906B09">
        <w:rPr>
          <w:rFonts w:ascii="BentonSans Book" w:hAnsi="BentonSans Book"/>
        </w:rPr>
        <w:t xml:space="preserve">ns </w:t>
      </w:r>
      <w:r w:rsidRPr="00D169DD">
        <w:rPr>
          <w:rFonts w:ascii="BentonSans Book" w:hAnsi="BentonSans Book"/>
        </w:rPr>
        <w:t>and amount to be pro</w:t>
      </w:r>
      <w:r w:rsidR="00906B09">
        <w:rPr>
          <w:rFonts w:ascii="BentonSans Book" w:hAnsi="BentonSans Book"/>
        </w:rPr>
        <w:t xml:space="preserve">vided and to which clients. </w:t>
      </w:r>
      <w:r w:rsidR="00EF27BC">
        <w:rPr>
          <w:rFonts w:ascii="BentonSans Book" w:hAnsi="BentonSans Book"/>
        </w:rPr>
        <w:t xml:space="preserve">They mainly embody </w:t>
      </w:r>
      <w:r w:rsidR="00AD0CD5">
        <w:rPr>
          <w:rFonts w:ascii="BentonSans Book" w:hAnsi="BentonSans Book"/>
        </w:rPr>
        <w:t xml:space="preserve">capacity of the borrower, </w:t>
      </w:r>
      <w:r w:rsidR="00EF27BC">
        <w:rPr>
          <w:rFonts w:ascii="BentonSans Book" w:hAnsi="BentonSans Book"/>
        </w:rPr>
        <w:t>collateral requirements, borrowers’ own contribution to the project</w:t>
      </w:r>
      <w:r w:rsidR="00AD0CD5">
        <w:rPr>
          <w:rFonts w:ascii="BentonSans Book" w:hAnsi="BentonSans Book"/>
        </w:rPr>
        <w:t xml:space="preserve"> and</w:t>
      </w:r>
      <w:r w:rsidR="00EF27BC">
        <w:rPr>
          <w:rFonts w:ascii="BentonSans Book" w:hAnsi="BentonSans Book"/>
        </w:rPr>
        <w:t xml:space="preserve"> credit history of the borrower</w:t>
      </w:r>
      <w:r w:rsidR="00AD0CD5">
        <w:rPr>
          <w:rFonts w:ascii="BentonSans Book" w:hAnsi="BentonSans Book"/>
        </w:rPr>
        <w:t xml:space="preserve">. </w:t>
      </w:r>
      <w:r w:rsidR="00906B09">
        <w:rPr>
          <w:rFonts w:ascii="BentonSans Book" w:hAnsi="BentonSans Book"/>
        </w:rPr>
        <w:t>The credit</w:t>
      </w:r>
      <w:r w:rsidRPr="00D169DD">
        <w:rPr>
          <w:rFonts w:ascii="BentonSans Book" w:hAnsi="BentonSans Book"/>
        </w:rPr>
        <w:t xml:space="preserve"> survey measures changes in such standards including cases where a bank has introduced a new lending policy or amended existing one. </w:t>
      </w:r>
      <w:r>
        <w:rPr>
          <w:rFonts w:ascii="BentonSans Book" w:hAnsi="BentonSans Book"/>
        </w:rPr>
        <w:t xml:space="preserve"> </w:t>
      </w:r>
      <w:r w:rsidR="00445F7F">
        <w:rPr>
          <w:rFonts w:ascii="BentonSans Book" w:hAnsi="BentonSans Book"/>
        </w:rPr>
        <w:t>M</w:t>
      </w:r>
      <w:r w:rsidR="00906B09">
        <w:rPr>
          <w:rFonts w:ascii="BentonSans Book" w:hAnsi="BentonSans Book"/>
        </w:rPr>
        <w:t>ost b</w:t>
      </w:r>
      <w:r w:rsidRPr="00D169DD">
        <w:rPr>
          <w:rFonts w:ascii="BentonSans Book" w:hAnsi="BentonSans Book"/>
        </w:rPr>
        <w:t xml:space="preserve">anks </w:t>
      </w:r>
      <w:r w:rsidR="00906B09">
        <w:rPr>
          <w:rFonts w:ascii="BentonSans Book" w:hAnsi="BentonSans Book"/>
        </w:rPr>
        <w:t xml:space="preserve">(12 banks out of 16 banks) </w:t>
      </w:r>
      <w:r w:rsidRPr="00D169DD">
        <w:rPr>
          <w:rFonts w:ascii="BentonSans Book" w:hAnsi="BentonSans Book"/>
        </w:rPr>
        <w:t xml:space="preserve">reported </w:t>
      </w:r>
      <w:r w:rsidR="00445F7F">
        <w:rPr>
          <w:rFonts w:ascii="BentonSans Book" w:hAnsi="BentonSans Book"/>
        </w:rPr>
        <w:t>that</w:t>
      </w:r>
      <w:r w:rsidR="00906B09">
        <w:rPr>
          <w:rFonts w:ascii="BentonSans Book" w:hAnsi="BentonSans Book"/>
        </w:rPr>
        <w:t xml:space="preserve"> their credit standards</w:t>
      </w:r>
      <w:r w:rsidR="00445F7F">
        <w:rPr>
          <w:rFonts w:ascii="BentonSans Book" w:hAnsi="BentonSans Book"/>
        </w:rPr>
        <w:t xml:space="preserve"> remained unchanged during the first quarter of 2019, whereas four</w:t>
      </w:r>
      <w:r w:rsidR="00906B09">
        <w:rPr>
          <w:rFonts w:ascii="BentonSans Book" w:hAnsi="BentonSans Book"/>
        </w:rPr>
        <w:t xml:space="preserve"> banks reported to have tightened their credit standards. The k</w:t>
      </w:r>
      <w:r w:rsidRPr="00D169DD">
        <w:rPr>
          <w:rFonts w:ascii="BentonSans Book" w:hAnsi="BentonSans Book"/>
        </w:rPr>
        <w:t>ey reas</w:t>
      </w:r>
      <w:r w:rsidR="00906B09">
        <w:rPr>
          <w:rFonts w:ascii="BentonSans Book" w:hAnsi="BentonSans Book"/>
        </w:rPr>
        <w:t xml:space="preserve">ons cited for tightening </w:t>
      </w:r>
      <w:r w:rsidR="00445F7F">
        <w:rPr>
          <w:rFonts w:ascii="BentonSans Book" w:hAnsi="BentonSans Book"/>
        </w:rPr>
        <w:t>are mainly</w:t>
      </w:r>
      <w:r w:rsidR="00B76730">
        <w:rPr>
          <w:rFonts w:ascii="BentonSans Book" w:hAnsi="BentonSans Book"/>
        </w:rPr>
        <w:t xml:space="preserve"> </w:t>
      </w:r>
      <w:r w:rsidR="00445F7F">
        <w:rPr>
          <w:rFonts w:ascii="BentonSans Book" w:hAnsi="BentonSans Book"/>
        </w:rPr>
        <w:t xml:space="preserve">bank </w:t>
      </w:r>
      <w:r w:rsidR="00445F7F" w:rsidRPr="008A0B6B">
        <w:rPr>
          <w:rFonts w:ascii="BentonSans Book" w:hAnsi="BentonSans Book"/>
        </w:rPr>
        <w:t xml:space="preserve">specific factors, </w:t>
      </w:r>
      <w:r w:rsidR="00445F7F">
        <w:rPr>
          <w:rFonts w:ascii="BentonSans Book" w:hAnsi="BentonSans Book"/>
        </w:rPr>
        <w:t xml:space="preserve">including </w:t>
      </w:r>
      <w:r w:rsidR="00D7764C">
        <w:rPr>
          <w:rFonts w:ascii="BentonSans Book" w:hAnsi="BentonSans Book"/>
        </w:rPr>
        <w:t>bank perception of risk and</w:t>
      </w:r>
      <w:r w:rsidR="009007A7">
        <w:rPr>
          <w:rFonts w:ascii="BentonSans Book" w:hAnsi="BentonSans Book"/>
        </w:rPr>
        <w:t xml:space="preserve"> the desired securitization level.</w:t>
      </w:r>
      <w:bookmarkStart w:id="0" w:name="_GoBack"/>
      <w:bookmarkEnd w:id="0"/>
      <w:r w:rsidR="005F16F3">
        <w:rPr>
          <w:rFonts w:ascii="BentonSans Book" w:hAnsi="BentonSans Book"/>
        </w:rPr>
        <w:t xml:space="preserve"> </w:t>
      </w:r>
    </w:p>
    <w:p w14:paraId="48344A2E" w14:textId="4BCAD238" w:rsidR="00E2079F" w:rsidRDefault="005F16F3" w:rsidP="00870E7F">
      <w:pPr>
        <w:spacing w:line="276" w:lineRule="auto"/>
        <w:jc w:val="both"/>
        <w:rPr>
          <w:rFonts w:ascii="BentonSans Book" w:hAnsi="BentonSans Book"/>
        </w:rPr>
      </w:pPr>
      <w:r>
        <w:rPr>
          <w:rFonts w:ascii="BentonSans Book" w:eastAsia="Times New Roman" w:hAnsi="BentonSans Book" w:cs="Times New Roman"/>
          <w:sz w:val="24"/>
          <w:szCs w:val="24"/>
        </w:rPr>
        <w:t xml:space="preserve">Like credit standards, the </w:t>
      </w:r>
      <w:r w:rsidR="000A0D1F">
        <w:rPr>
          <w:rFonts w:ascii="BentonSans Book" w:eastAsia="Times New Roman" w:hAnsi="BentonSans Book" w:cs="Times New Roman"/>
          <w:sz w:val="24"/>
          <w:szCs w:val="24"/>
        </w:rPr>
        <w:t>c</w:t>
      </w:r>
      <w:r w:rsidR="00E2079F" w:rsidRPr="00024076">
        <w:rPr>
          <w:rFonts w:ascii="BentonSans Book" w:hAnsi="BentonSans Book"/>
        </w:rPr>
        <w:t>redit terms and conditions</w:t>
      </w:r>
      <w:r w:rsidR="00B76730">
        <w:rPr>
          <w:rStyle w:val="FootnoteReference"/>
          <w:rFonts w:ascii="BentonSans Book" w:hAnsi="BentonSans Book"/>
        </w:rPr>
        <w:footnoteReference w:id="4"/>
      </w:r>
      <w:r w:rsidR="00E2079F">
        <w:rPr>
          <w:rFonts w:ascii="BentonSans Book" w:hAnsi="BentonSans Book"/>
        </w:rPr>
        <w:t xml:space="preserve"> </w:t>
      </w:r>
      <w:r>
        <w:rPr>
          <w:rFonts w:ascii="BentonSans Book" w:hAnsi="BentonSans Book"/>
        </w:rPr>
        <w:t xml:space="preserve">also remained broadly unchanged. </w:t>
      </w:r>
      <w:r w:rsidR="00E2079F" w:rsidRPr="00024076">
        <w:rPr>
          <w:rFonts w:ascii="BentonSans Book" w:hAnsi="BentonSans Book"/>
        </w:rPr>
        <w:t xml:space="preserve"> </w:t>
      </w:r>
      <w:r w:rsidR="00E2079F">
        <w:rPr>
          <w:rFonts w:ascii="BentonSans Book" w:hAnsi="BentonSans Book"/>
        </w:rPr>
        <w:t>Out of 16 banks opera</w:t>
      </w:r>
      <w:r>
        <w:rPr>
          <w:rFonts w:ascii="BentonSans Book" w:hAnsi="BentonSans Book"/>
        </w:rPr>
        <w:t>ting on Rwandan credit market, 11</w:t>
      </w:r>
      <w:r w:rsidR="00E2079F" w:rsidRPr="009D1113">
        <w:rPr>
          <w:rFonts w:ascii="BentonSans Book" w:hAnsi="BentonSans Book"/>
        </w:rPr>
        <w:t xml:space="preserve"> banks indicated that </w:t>
      </w:r>
      <w:r w:rsidR="00E2079F">
        <w:rPr>
          <w:rFonts w:ascii="BentonSans Book" w:hAnsi="BentonSans Book"/>
        </w:rPr>
        <w:t xml:space="preserve">their overall </w:t>
      </w:r>
      <w:r w:rsidR="00E2079F" w:rsidRPr="009D1113">
        <w:rPr>
          <w:rFonts w:ascii="BentonSans Book" w:hAnsi="BentonSans Book"/>
        </w:rPr>
        <w:t>terms and conditions remain</w:t>
      </w:r>
      <w:r w:rsidR="00E2079F">
        <w:rPr>
          <w:rFonts w:ascii="BentonSans Book" w:hAnsi="BentonSans Book"/>
        </w:rPr>
        <w:t xml:space="preserve">ed unchanged, while </w:t>
      </w:r>
      <w:proofErr w:type="gramStart"/>
      <w:r w:rsidR="00E2079F">
        <w:rPr>
          <w:rFonts w:ascii="BentonSans Book" w:hAnsi="BentonSans Book"/>
        </w:rPr>
        <w:t>3</w:t>
      </w:r>
      <w:proofErr w:type="gramEnd"/>
      <w:r w:rsidR="00E2079F">
        <w:rPr>
          <w:rFonts w:ascii="BentonSans Book" w:hAnsi="BentonSans Book"/>
        </w:rPr>
        <w:t xml:space="preserve"> banks </w:t>
      </w:r>
      <w:r w:rsidR="00E2079F" w:rsidRPr="009D1113">
        <w:rPr>
          <w:rFonts w:ascii="BentonSans Book" w:hAnsi="BentonSans Book"/>
        </w:rPr>
        <w:t>indicated that credit terms a</w:t>
      </w:r>
      <w:r>
        <w:rPr>
          <w:rFonts w:ascii="BentonSans Book" w:hAnsi="BentonSans Book"/>
        </w:rPr>
        <w:t>nd conditions tightened and 2</w:t>
      </w:r>
      <w:r w:rsidR="00E2079F">
        <w:rPr>
          <w:rFonts w:ascii="BentonSans Book" w:hAnsi="BentonSans Book"/>
        </w:rPr>
        <w:t xml:space="preserve"> banks </w:t>
      </w:r>
      <w:r w:rsidR="00E2079F" w:rsidRPr="009D1113">
        <w:rPr>
          <w:rFonts w:ascii="BentonSans Book" w:hAnsi="BentonSans Book"/>
        </w:rPr>
        <w:t>indicat</w:t>
      </w:r>
      <w:r w:rsidR="00E2079F">
        <w:rPr>
          <w:rFonts w:ascii="BentonSans Book" w:hAnsi="BentonSans Book"/>
        </w:rPr>
        <w:t>ed</w:t>
      </w:r>
      <w:r w:rsidR="00E2079F" w:rsidRPr="009D1113">
        <w:rPr>
          <w:rFonts w:ascii="BentonSans Book" w:hAnsi="BentonSans Book"/>
        </w:rPr>
        <w:t xml:space="preserve"> that the credit terms and conditions eased. </w:t>
      </w:r>
      <w:r w:rsidR="00AD0CD5">
        <w:rPr>
          <w:rFonts w:ascii="BentonSans Book" w:hAnsi="BentonSans Book"/>
        </w:rPr>
        <w:t xml:space="preserve"> From banks’ perspective</w:t>
      </w:r>
      <w:r w:rsidR="00E2079F">
        <w:rPr>
          <w:rFonts w:ascii="BentonSans Book" w:hAnsi="BentonSans Book"/>
        </w:rPr>
        <w:t xml:space="preserve">, </w:t>
      </w:r>
      <w:r w:rsidR="00E2079F" w:rsidRPr="00395CA7">
        <w:rPr>
          <w:rFonts w:ascii="BentonSans Book" w:hAnsi="BentonSans Book"/>
        </w:rPr>
        <w:t>operating costs</w:t>
      </w:r>
      <w:r w:rsidR="00E2079F">
        <w:rPr>
          <w:rFonts w:ascii="BentonSans Book" w:hAnsi="BentonSans Book"/>
        </w:rPr>
        <w:t xml:space="preserve"> and the perception of risk </w:t>
      </w:r>
      <w:r w:rsidR="00E2079F" w:rsidRPr="00395CA7">
        <w:rPr>
          <w:rFonts w:ascii="BentonSans Book" w:hAnsi="BentonSans Book"/>
        </w:rPr>
        <w:t>were the main reasons for tighten</w:t>
      </w:r>
      <w:r w:rsidR="00AD0CD5">
        <w:rPr>
          <w:rFonts w:ascii="BentonSans Book" w:hAnsi="BentonSans Book"/>
        </w:rPr>
        <w:t xml:space="preserve">ing credit terms and conditions while the </w:t>
      </w:r>
      <w:r w:rsidR="00AD0CD5" w:rsidRPr="00395CA7">
        <w:rPr>
          <w:rFonts w:ascii="BentonSans Book" w:hAnsi="BentonSans Book"/>
        </w:rPr>
        <w:t>comp</w:t>
      </w:r>
      <w:r w:rsidR="00AD0CD5">
        <w:rPr>
          <w:rFonts w:ascii="BentonSans Book" w:hAnsi="BentonSans Book"/>
        </w:rPr>
        <w:t xml:space="preserve">etition, cost of funds </w:t>
      </w:r>
      <w:r w:rsidR="00AD0CD5" w:rsidRPr="00395CA7">
        <w:rPr>
          <w:rFonts w:ascii="BentonSans Book" w:hAnsi="BentonSans Book"/>
        </w:rPr>
        <w:t>and liquidity position were the main factors that contributed to easing of cr</w:t>
      </w:r>
      <w:r w:rsidR="00AD0CD5">
        <w:rPr>
          <w:rFonts w:ascii="BentonSans Book" w:hAnsi="BentonSans Book"/>
        </w:rPr>
        <w:t xml:space="preserve">edit terms and conditions. </w:t>
      </w:r>
      <w:r w:rsidR="003201C1">
        <w:rPr>
          <w:rFonts w:ascii="BentonSans Book" w:hAnsi="BentonSans Book"/>
        </w:rPr>
        <w:t>In context of this survey, the e</w:t>
      </w:r>
      <w:r w:rsidR="00AD0CD5">
        <w:rPr>
          <w:rFonts w:ascii="BentonSans Book" w:hAnsi="BentonSans Book"/>
        </w:rPr>
        <w:t>asing of credit terms and conditions mainly characterizes the reduction of lending interest rate and the extension of maturity for mortgage loans.</w:t>
      </w:r>
    </w:p>
    <w:p w14:paraId="109BD9FB" w14:textId="77777777" w:rsidR="00870E7F" w:rsidRDefault="00870E7F" w:rsidP="0088665D">
      <w:pPr>
        <w:pStyle w:val="NormalWeb"/>
        <w:spacing w:before="120" w:after="120" w:line="360" w:lineRule="auto"/>
        <w:rPr>
          <w:rFonts w:ascii="BentonSans Book" w:hAnsi="BentonSans Book"/>
          <w:b/>
          <w:sz w:val="22"/>
          <w:szCs w:val="22"/>
        </w:rPr>
      </w:pPr>
    </w:p>
    <w:p w14:paraId="6993509C" w14:textId="69919206" w:rsidR="0088665D" w:rsidRPr="00B709F4" w:rsidRDefault="0088665D" w:rsidP="0088665D">
      <w:pPr>
        <w:pStyle w:val="NormalWeb"/>
        <w:spacing w:before="120" w:after="120" w:line="360" w:lineRule="auto"/>
        <w:rPr>
          <w:rFonts w:ascii="BentonSans Black" w:hAnsi="BentonSans Black"/>
          <w:b/>
          <w:sz w:val="22"/>
          <w:szCs w:val="22"/>
        </w:rPr>
      </w:pPr>
      <w:r w:rsidRPr="00B709F4">
        <w:rPr>
          <w:rFonts w:ascii="BentonSans Black" w:hAnsi="BentonSans Black"/>
          <w:b/>
          <w:sz w:val="22"/>
          <w:szCs w:val="22"/>
        </w:rPr>
        <w:t xml:space="preserve">Figure 2: </w:t>
      </w:r>
      <w:r w:rsidRPr="00B709F4">
        <w:rPr>
          <w:rFonts w:ascii="BentonSans Black" w:hAnsi="BentonSans Black"/>
          <w:b/>
        </w:rPr>
        <w:t>Credit Standards, Terms and Conditions</w:t>
      </w:r>
    </w:p>
    <w:p w14:paraId="5388682E" w14:textId="77777777" w:rsidR="0088665D" w:rsidRPr="002A006E" w:rsidRDefault="0088665D" w:rsidP="0088665D">
      <w:pPr>
        <w:pStyle w:val="NormalWeb"/>
        <w:spacing w:before="120" w:after="120" w:line="360" w:lineRule="auto"/>
        <w:jc w:val="center"/>
        <w:rPr>
          <w:rFonts w:ascii="BentonSans Book" w:hAnsi="BentonSans Book"/>
          <w:b/>
          <w:color w:val="0070C0"/>
          <w:sz w:val="32"/>
          <w:szCs w:val="22"/>
        </w:rPr>
      </w:pPr>
      <w:r w:rsidRPr="002A006E">
        <w:rPr>
          <w:rFonts w:ascii="BentonSans Book" w:hAnsi="BentonSans Book"/>
          <w:b/>
          <w:noProof/>
          <w:color w:val="0070C0"/>
          <w:sz w:val="32"/>
          <w:szCs w:val="22"/>
        </w:rPr>
        <mc:AlternateContent>
          <mc:Choice Requires="wps">
            <w:drawing>
              <wp:anchor distT="0" distB="0" distL="114300" distR="114300" simplePos="0" relativeHeight="251704320" behindDoc="0" locked="0" layoutInCell="1" allowOverlap="1" wp14:anchorId="1CC9CAE8" wp14:editId="6FCA2F6A">
                <wp:simplePos x="0" y="0"/>
                <wp:positionH relativeFrom="margin">
                  <wp:posOffset>28575</wp:posOffset>
                </wp:positionH>
                <wp:positionV relativeFrom="paragraph">
                  <wp:posOffset>17780</wp:posOffset>
                </wp:positionV>
                <wp:extent cx="6000750" cy="30384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6000750" cy="3038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FA152D" w14:textId="1B39E770" w:rsidR="0088665D" w:rsidRDefault="00532CA6" w:rsidP="0088665D">
                            <w:r w:rsidRPr="00532CA6">
                              <w:rPr>
                                <w:noProof/>
                              </w:rPr>
                              <w:drawing>
                                <wp:inline distT="0" distB="0" distL="0" distR="0" wp14:anchorId="75984D11" wp14:editId="54178531">
                                  <wp:extent cx="2952750" cy="290512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88665D">
                              <w:t xml:space="preserve">  </w:t>
                            </w:r>
                            <w:r w:rsidRPr="00532CA6">
                              <w:rPr>
                                <w:noProof/>
                              </w:rPr>
                              <w:drawing>
                                <wp:inline distT="0" distB="0" distL="0" distR="0" wp14:anchorId="17707A0C" wp14:editId="4A075CD8">
                                  <wp:extent cx="2762250" cy="2902585"/>
                                  <wp:effectExtent l="0" t="0" r="0" b="1206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88665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9CAE8" id="Text Box 20" o:spid="_x0000_s1029" type="#_x0000_t202" style="position:absolute;left:0;text-align:left;margin-left:2.25pt;margin-top:1.4pt;width:472.5pt;height:239.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" fillcolor="white [3201]" strokeweight=".5pt">
                <v:textbox>
                  <w:txbxContent>
                    <w:p w14:paraId="66FA152D" w14:textId="1B39E770" w:rsidR="0088665D" w:rsidRDefault="00532CA6" w:rsidP="0088665D">
                      <w:r w:rsidRPr="00532CA6">
                        <w:drawing>
                          <wp:inline distT="0" distB="0" distL="0" distR="0" wp14:anchorId="75984D11" wp14:editId="54178531">
                            <wp:extent cx="2952750" cy="290512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88665D">
                        <w:t xml:space="preserve">  </w:t>
                      </w:r>
                      <w:r w:rsidRPr="00532CA6">
                        <w:drawing>
                          <wp:inline distT="0" distB="0" distL="0" distR="0" wp14:anchorId="17707A0C" wp14:editId="4A075CD8">
                            <wp:extent cx="2762250" cy="2902585"/>
                            <wp:effectExtent l="0" t="0" r="0" b="1206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88665D">
                        <w:t xml:space="preserve">   </w:t>
                      </w:r>
                    </w:p>
                  </w:txbxContent>
                </v:textbox>
                <w10:wrap anchorx="margin"/>
              </v:shape>
            </w:pict>
          </mc:Fallback>
        </mc:AlternateContent>
      </w:r>
    </w:p>
    <w:p w14:paraId="3311A20D" w14:textId="6059BB4C" w:rsidR="0088665D" w:rsidRPr="002A006E" w:rsidRDefault="0088665D" w:rsidP="0088665D">
      <w:pPr>
        <w:pStyle w:val="NormalWeb"/>
        <w:spacing w:before="120" w:after="120" w:line="360" w:lineRule="auto"/>
        <w:jc w:val="center"/>
        <w:rPr>
          <w:rFonts w:ascii="BentonSans Book" w:hAnsi="BentonSans Book"/>
          <w:b/>
          <w:color w:val="0070C0"/>
          <w:sz w:val="32"/>
          <w:szCs w:val="22"/>
        </w:rPr>
      </w:pPr>
    </w:p>
    <w:p w14:paraId="4682916F" w14:textId="77777777" w:rsidR="0088665D" w:rsidRPr="002A006E" w:rsidRDefault="0088665D" w:rsidP="0088665D">
      <w:pPr>
        <w:pStyle w:val="NormalWeb"/>
        <w:spacing w:before="120" w:after="120" w:line="360" w:lineRule="auto"/>
        <w:jc w:val="center"/>
        <w:rPr>
          <w:rFonts w:ascii="BentonSans Book" w:hAnsi="BentonSans Book"/>
          <w:b/>
          <w:color w:val="0070C0"/>
          <w:sz w:val="32"/>
          <w:szCs w:val="22"/>
        </w:rPr>
      </w:pPr>
    </w:p>
    <w:p w14:paraId="1A121875" w14:textId="77777777" w:rsidR="0088665D" w:rsidRPr="002A006E" w:rsidRDefault="0088665D" w:rsidP="0088665D">
      <w:pPr>
        <w:pStyle w:val="NormalWeb"/>
        <w:spacing w:before="120" w:after="120" w:line="360" w:lineRule="auto"/>
        <w:jc w:val="center"/>
        <w:rPr>
          <w:rFonts w:ascii="BentonSans Book" w:hAnsi="BentonSans Book"/>
          <w:b/>
          <w:color w:val="0070C0"/>
          <w:sz w:val="32"/>
          <w:szCs w:val="22"/>
        </w:rPr>
      </w:pPr>
    </w:p>
    <w:p w14:paraId="4340FEC5" w14:textId="77777777" w:rsidR="0088665D" w:rsidRPr="002A006E" w:rsidRDefault="0088665D" w:rsidP="0088665D">
      <w:pPr>
        <w:pStyle w:val="NormalWeb"/>
        <w:spacing w:before="120" w:after="120" w:line="360" w:lineRule="auto"/>
        <w:jc w:val="center"/>
        <w:rPr>
          <w:rFonts w:ascii="BentonSans Book" w:hAnsi="BentonSans Book"/>
          <w:b/>
          <w:color w:val="0070C0"/>
          <w:sz w:val="32"/>
          <w:szCs w:val="22"/>
        </w:rPr>
      </w:pPr>
    </w:p>
    <w:p w14:paraId="2F7AA33C" w14:textId="77777777" w:rsidR="0088665D" w:rsidRDefault="0088665D" w:rsidP="0088665D">
      <w:pPr>
        <w:pStyle w:val="NormalWeb"/>
        <w:spacing w:before="120" w:after="120" w:line="360" w:lineRule="auto"/>
        <w:rPr>
          <w:rFonts w:ascii="BentonSans Book" w:hAnsi="BentonSans Book"/>
          <w:b/>
          <w:sz w:val="22"/>
          <w:szCs w:val="22"/>
        </w:rPr>
      </w:pPr>
    </w:p>
    <w:p w14:paraId="0ED4FC35" w14:textId="77777777" w:rsidR="0088665D" w:rsidRDefault="0088665D" w:rsidP="0088665D">
      <w:pPr>
        <w:pStyle w:val="NormalWeb"/>
        <w:spacing w:before="120" w:after="120" w:line="360" w:lineRule="auto"/>
        <w:rPr>
          <w:rFonts w:ascii="BentonSans Book" w:hAnsi="BentonSans Book"/>
          <w:b/>
          <w:sz w:val="22"/>
          <w:szCs w:val="22"/>
        </w:rPr>
      </w:pPr>
    </w:p>
    <w:p w14:paraId="1BDC34B4" w14:textId="77777777" w:rsidR="0088665D" w:rsidRDefault="0088665D" w:rsidP="0088665D">
      <w:pPr>
        <w:pStyle w:val="NormalWeb"/>
        <w:spacing w:before="120" w:after="120" w:line="360" w:lineRule="auto"/>
        <w:rPr>
          <w:rFonts w:ascii="BentonSans Book" w:hAnsi="BentonSans Book"/>
          <w:b/>
          <w:sz w:val="22"/>
          <w:szCs w:val="22"/>
        </w:rPr>
      </w:pPr>
    </w:p>
    <w:p w14:paraId="2977E32D" w14:textId="03E26243" w:rsidR="0088665D" w:rsidRPr="00E2079F" w:rsidRDefault="0088665D" w:rsidP="00E2079F">
      <w:pPr>
        <w:pStyle w:val="NormalWeb"/>
        <w:spacing w:before="120" w:after="120" w:line="360" w:lineRule="auto"/>
        <w:rPr>
          <w:rFonts w:ascii="BentonSans Book" w:hAnsi="BentonSans Book"/>
          <w:sz w:val="22"/>
          <w:szCs w:val="22"/>
        </w:rPr>
      </w:pPr>
      <w:r w:rsidRPr="009D1113">
        <w:rPr>
          <w:rFonts w:ascii="BentonSans Book" w:hAnsi="BentonSans Book"/>
          <w:b/>
          <w:sz w:val="22"/>
          <w:szCs w:val="22"/>
        </w:rPr>
        <w:t>Source:</w:t>
      </w:r>
      <w:r w:rsidRPr="009D1113">
        <w:rPr>
          <w:rFonts w:ascii="BentonSans Book" w:hAnsi="BentonSans Book"/>
          <w:sz w:val="22"/>
          <w:szCs w:val="22"/>
        </w:rPr>
        <w:t xml:space="preserve"> Credit Survey Findings</w:t>
      </w:r>
    </w:p>
    <w:p w14:paraId="3DA7BD67" w14:textId="73E8622C" w:rsidR="00E75BAA" w:rsidRPr="00B709F4" w:rsidRDefault="008F4287" w:rsidP="00870E7F">
      <w:pPr>
        <w:pStyle w:val="NormalWeb"/>
        <w:spacing w:before="120" w:after="120" w:line="276" w:lineRule="auto"/>
        <w:rPr>
          <w:rFonts w:ascii="BentonSans Black" w:hAnsi="BentonSans Black"/>
          <w:b/>
          <w:sz w:val="22"/>
          <w:szCs w:val="22"/>
        </w:rPr>
      </w:pPr>
      <w:r w:rsidRPr="00B709F4">
        <w:rPr>
          <w:rFonts w:ascii="BentonSans Black" w:hAnsi="BentonSans Black"/>
          <w:b/>
          <w:sz w:val="22"/>
          <w:szCs w:val="22"/>
        </w:rPr>
        <w:t>2.</w:t>
      </w:r>
      <w:r w:rsidR="00C077BF" w:rsidRPr="00B709F4">
        <w:rPr>
          <w:rFonts w:ascii="BentonSans Black" w:hAnsi="BentonSans Black"/>
          <w:b/>
          <w:sz w:val="22"/>
          <w:szCs w:val="22"/>
        </w:rPr>
        <w:t xml:space="preserve">4. </w:t>
      </w:r>
      <w:r w:rsidR="00E2079F" w:rsidRPr="00B709F4">
        <w:rPr>
          <w:rFonts w:ascii="BentonSans Black" w:hAnsi="BentonSans Black"/>
          <w:b/>
          <w:sz w:val="22"/>
          <w:szCs w:val="22"/>
        </w:rPr>
        <w:t xml:space="preserve">Banks’ Expectations for </w:t>
      </w:r>
      <w:r w:rsidRPr="00B709F4">
        <w:rPr>
          <w:rFonts w:ascii="BentonSans Black" w:hAnsi="BentonSans Black"/>
          <w:b/>
          <w:sz w:val="22"/>
          <w:szCs w:val="22"/>
        </w:rPr>
        <w:t xml:space="preserve">Q2 </w:t>
      </w:r>
      <w:r w:rsidR="00C077BF" w:rsidRPr="00B709F4">
        <w:rPr>
          <w:rFonts w:ascii="BentonSans Black" w:hAnsi="BentonSans Black"/>
          <w:b/>
          <w:sz w:val="22"/>
          <w:szCs w:val="22"/>
        </w:rPr>
        <w:t>2019</w:t>
      </w:r>
    </w:p>
    <w:p w14:paraId="5F8DC68D" w14:textId="1FD80D93" w:rsidR="001F0DB3" w:rsidRDefault="00991EA9" w:rsidP="00870E7F">
      <w:pPr>
        <w:spacing w:line="276" w:lineRule="auto"/>
        <w:jc w:val="both"/>
        <w:rPr>
          <w:rFonts w:ascii="BentonSans Book" w:hAnsi="BentonSans Book"/>
        </w:rPr>
      </w:pPr>
      <w:r w:rsidRPr="003D0C75">
        <w:rPr>
          <w:rFonts w:ascii="BentonSans Book" w:hAnsi="BentonSans Book"/>
        </w:rPr>
        <w:t xml:space="preserve"> Overall, </w:t>
      </w:r>
      <w:r>
        <w:rPr>
          <w:rFonts w:ascii="BentonSans Book" w:hAnsi="BentonSans Book"/>
        </w:rPr>
        <w:t xml:space="preserve">the </w:t>
      </w:r>
      <w:r w:rsidRPr="003D0C75">
        <w:rPr>
          <w:rFonts w:ascii="BentonSans Book" w:hAnsi="BentonSans Book"/>
        </w:rPr>
        <w:t>majority of ba</w:t>
      </w:r>
      <w:r w:rsidR="00C5136C">
        <w:rPr>
          <w:rFonts w:ascii="BentonSans Book" w:hAnsi="BentonSans Book"/>
        </w:rPr>
        <w:t xml:space="preserve">nks expect lending </w:t>
      </w:r>
      <w:r w:rsidRPr="003D0C75">
        <w:rPr>
          <w:rFonts w:ascii="BentonSans Book" w:hAnsi="BentonSans Book"/>
        </w:rPr>
        <w:t>to</w:t>
      </w:r>
      <w:r>
        <w:rPr>
          <w:rFonts w:ascii="BentonSans Book" w:hAnsi="BentonSans Book"/>
        </w:rPr>
        <w:t xml:space="preserve"> continue </w:t>
      </w:r>
      <w:r w:rsidRPr="003D0C75">
        <w:rPr>
          <w:rFonts w:ascii="BentonSans Book" w:hAnsi="BentonSans Book"/>
        </w:rPr>
        <w:t>increasing</w:t>
      </w:r>
      <w:r>
        <w:rPr>
          <w:rFonts w:ascii="BentonSans Book" w:hAnsi="BentonSans Book"/>
        </w:rPr>
        <w:t xml:space="preserve"> in Q2 2019. </w:t>
      </w:r>
      <w:r w:rsidRPr="003D0C75">
        <w:rPr>
          <w:rFonts w:ascii="BentonSans Book" w:hAnsi="BentonSans Book"/>
        </w:rPr>
        <w:t xml:space="preserve"> </w:t>
      </w:r>
      <w:r w:rsidR="00271216">
        <w:rPr>
          <w:rFonts w:ascii="BentonSans Book" w:hAnsi="BentonSans Book"/>
        </w:rPr>
        <w:t>Twelve</w:t>
      </w:r>
      <w:r>
        <w:rPr>
          <w:rFonts w:ascii="BentonSans Book" w:hAnsi="BentonSans Book"/>
        </w:rPr>
        <w:t xml:space="preserve"> banks</w:t>
      </w:r>
      <w:r w:rsidR="00271216">
        <w:rPr>
          <w:rFonts w:ascii="BentonSans Book" w:hAnsi="BentonSans Book"/>
        </w:rPr>
        <w:t xml:space="preserve">, one </w:t>
      </w:r>
      <w:r w:rsidR="0048611A">
        <w:rPr>
          <w:rFonts w:ascii="BentonSans Book" w:hAnsi="BentonSans Book"/>
        </w:rPr>
        <w:t xml:space="preserve">bank more </w:t>
      </w:r>
      <w:r w:rsidR="00271216">
        <w:rPr>
          <w:rFonts w:ascii="BentonSans Book" w:hAnsi="BentonSans Book"/>
        </w:rPr>
        <w:t>than eleven</w:t>
      </w:r>
      <w:r w:rsidRPr="003D0C75">
        <w:rPr>
          <w:rFonts w:ascii="BentonSans Book" w:hAnsi="BentonSans Book"/>
        </w:rPr>
        <w:t xml:space="preserve"> banks in the previou</w:t>
      </w:r>
      <w:r w:rsidR="00C5136C">
        <w:rPr>
          <w:rFonts w:ascii="BentonSans Book" w:hAnsi="BentonSans Book"/>
        </w:rPr>
        <w:t>s survey expect an increase of lending</w:t>
      </w:r>
      <w:r>
        <w:rPr>
          <w:rFonts w:ascii="BentonSans Book" w:hAnsi="BentonSans Book"/>
        </w:rPr>
        <w:t xml:space="preserve"> in the next three months period to June</w:t>
      </w:r>
      <w:r w:rsidRPr="003D0C75">
        <w:rPr>
          <w:rFonts w:ascii="BentonSans Book" w:hAnsi="BentonSans Book"/>
        </w:rPr>
        <w:t xml:space="preserve"> 2</w:t>
      </w:r>
      <w:r>
        <w:rPr>
          <w:rFonts w:ascii="BentonSans Book" w:hAnsi="BentonSans Book"/>
        </w:rPr>
        <w:t xml:space="preserve">019. </w:t>
      </w:r>
      <w:r w:rsidR="00C5136C">
        <w:rPr>
          <w:rFonts w:ascii="BentonSans Book" w:hAnsi="BentonSans Book"/>
        </w:rPr>
        <w:t xml:space="preserve">These expectations of banks are </w:t>
      </w:r>
      <w:r w:rsidR="00BA683C">
        <w:rPr>
          <w:rFonts w:ascii="BentonSans Book" w:hAnsi="BentonSans Book"/>
        </w:rPr>
        <w:t xml:space="preserve">mainly </w:t>
      </w:r>
      <w:r w:rsidR="0048611A">
        <w:rPr>
          <w:rFonts w:ascii="BentonSans Book" w:hAnsi="BentonSans Book"/>
        </w:rPr>
        <w:t xml:space="preserve">based </w:t>
      </w:r>
      <w:r w:rsidRPr="003D0C75">
        <w:rPr>
          <w:rFonts w:ascii="BentonSans Book" w:hAnsi="BentonSans Book"/>
        </w:rPr>
        <w:t>o</w:t>
      </w:r>
      <w:r w:rsidR="00C5136C">
        <w:rPr>
          <w:rFonts w:ascii="BentonSans Book" w:hAnsi="BentonSans Book"/>
        </w:rPr>
        <w:t xml:space="preserve">n </w:t>
      </w:r>
      <w:r w:rsidRPr="003D0C75">
        <w:rPr>
          <w:rFonts w:ascii="BentonSans Book" w:hAnsi="BentonSans Book"/>
        </w:rPr>
        <w:t>improvement in macroeconomic environment that is expected to continue in the period ahead.  Other factors such</w:t>
      </w:r>
      <w:r>
        <w:rPr>
          <w:rFonts w:ascii="BentonSans Book" w:hAnsi="BentonSans Book"/>
        </w:rPr>
        <w:t xml:space="preserve"> </w:t>
      </w:r>
      <w:r w:rsidRPr="003D0C75">
        <w:rPr>
          <w:rFonts w:ascii="BentonSans Book" w:hAnsi="BentonSans Book"/>
        </w:rPr>
        <w:t xml:space="preserve">as </w:t>
      </w:r>
      <w:r w:rsidR="00BA683C">
        <w:rPr>
          <w:rFonts w:ascii="BentonSans Book" w:hAnsi="BentonSans Book"/>
        </w:rPr>
        <w:t xml:space="preserve">increased liquidity in banking sector, the </w:t>
      </w:r>
      <w:r w:rsidRPr="003D0C75">
        <w:rPr>
          <w:rFonts w:ascii="BentonSans Book" w:hAnsi="BentonSans Book"/>
        </w:rPr>
        <w:t xml:space="preserve">financing </w:t>
      </w:r>
      <w:r w:rsidR="00BA683C">
        <w:rPr>
          <w:rFonts w:ascii="BentonSans Book" w:hAnsi="BentonSans Book"/>
        </w:rPr>
        <w:t xml:space="preserve">needs </w:t>
      </w:r>
      <w:r w:rsidRPr="003D0C75">
        <w:rPr>
          <w:rFonts w:ascii="BentonSans Book" w:hAnsi="BentonSans Book"/>
        </w:rPr>
        <w:t>of household</w:t>
      </w:r>
      <w:r w:rsidR="00BA683C">
        <w:rPr>
          <w:rFonts w:ascii="BentonSans Book" w:hAnsi="BentonSans Book"/>
        </w:rPr>
        <w:t xml:space="preserve">s and corporates </w:t>
      </w:r>
      <w:r w:rsidRPr="003D0C75">
        <w:rPr>
          <w:rFonts w:ascii="BentonSans Book" w:hAnsi="BentonSans Book"/>
        </w:rPr>
        <w:t>are also exp</w:t>
      </w:r>
      <w:r w:rsidR="00BA683C">
        <w:rPr>
          <w:rFonts w:ascii="BentonSans Book" w:hAnsi="BentonSans Book"/>
        </w:rPr>
        <w:t xml:space="preserve">ected to contribute to </w:t>
      </w:r>
      <w:r w:rsidR="0036145C">
        <w:rPr>
          <w:rFonts w:ascii="BentonSans Book" w:hAnsi="BentonSans Book"/>
        </w:rPr>
        <w:t>increase</w:t>
      </w:r>
      <w:r w:rsidR="00BA683C">
        <w:rPr>
          <w:rFonts w:ascii="BentonSans Book" w:hAnsi="BentonSans Book"/>
        </w:rPr>
        <w:t xml:space="preserve"> lending in Q2 2019.</w:t>
      </w:r>
      <w:r w:rsidR="003A7F45">
        <w:rPr>
          <w:rFonts w:ascii="BentonSans Book" w:hAnsi="BentonSans Book"/>
        </w:rPr>
        <w:t xml:space="preserve"> </w:t>
      </w:r>
      <w:r w:rsidR="0051313F">
        <w:rPr>
          <w:rFonts w:ascii="BentonSans Book" w:hAnsi="BentonSans Book"/>
        </w:rPr>
        <w:t xml:space="preserve">With regards to </w:t>
      </w:r>
      <w:r w:rsidR="0036145C">
        <w:rPr>
          <w:rFonts w:ascii="BentonSans Book" w:hAnsi="BentonSans Book"/>
        </w:rPr>
        <w:t xml:space="preserve">the </w:t>
      </w:r>
      <w:r w:rsidR="0051313F">
        <w:rPr>
          <w:rFonts w:ascii="BentonSans Book" w:hAnsi="BentonSans Book"/>
        </w:rPr>
        <w:t>lending interest rate, t</w:t>
      </w:r>
      <w:r w:rsidR="00652A24" w:rsidRPr="00652A24">
        <w:rPr>
          <w:rFonts w:ascii="BentonSans Book" w:hAnsi="BentonSans Book"/>
        </w:rPr>
        <w:t xml:space="preserve">he survey results indicate that majority of the banks </w:t>
      </w:r>
      <w:r w:rsidR="003A7F45">
        <w:rPr>
          <w:rFonts w:ascii="BentonSans Book" w:hAnsi="BentonSans Book"/>
        </w:rPr>
        <w:t xml:space="preserve">(11 banks out of 16 banks) </w:t>
      </w:r>
      <w:r w:rsidR="00652A24" w:rsidRPr="00652A24">
        <w:rPr>
          <w:rFonts w:ascii="BentonSans Book" w:hAnsi="BentonSans Book"/>
        </w:rPr>
        <w:t>expec</w:t>
      </w:r>
      <w:r w:rsidR="003A7F45">
        <w:rPr>
          <w:rFonts w:ascii="BentonSans Book" w:hAnsi="BentonSans Book"/>
        </w:rPr>
        <w:t xml:space="preserve">t their lending rates to </w:t>
      </w:r>
      <w:r w:rsidR="00652A24" w:rsidRPr="00652A24">
        <w:rPr>
          <w:rFonts w:ascii="BentonSans Book" w:hAnsi="BentonSans Book"/>
        </w:rPr>
        <w:t>remain unchanged ove</w:t>
      </w:r>
      <w:r w:rsidR="004401AC">
        <w:rPr>
          <w:rFonts w:ascii="BentonSans Book" w:hAnsi="BentonSans Book"/>
        </w:rPr>
        <w:t xml:space="preserve">r the next quarter to </w:t>
      </w:r>
      <w:r w:rsidR="0051313F">
        <w:rPr>
          <w:rFonts w:ascii="BentonSans Book" w:hAnsi="BentonSans Book"/>
        </w:rPr>
        <w:t>June 2019</w:t>
      </w:r>
      <w:r w:rsidR="003A7F45">
        <w:rPr>
          <w:rFonts w:ascii="BentonSans Book" w:hAnsi="BentonSans Book"/>
        </w:rPr>
        <w:t xml:space="preserve">. </w:t>
      </w:r>
      <w:r w:rsidR="0036145C">
        <w:rPr>
          <w:rFonts w:ascii="BentonSans Book" w:hAnsi="BentonSans Book"/>
        </w:rPr>
        <w:t>Banks’ expectation on lending interest rate hinge on</w:t>
      </w:r>
      <w:r w:rsidR="004401AC">
        <w:rPr>
          <w:rFonts w:ascii="BentonSans Book" w:hAnsi="BentonSans Book"/>
        </w:rPr>
        <w:t xml:space="preserve"> </w:t>
      </w:r>
      <w:r w:rsidR="0051313F">
        <w:rPr>
          <w:rFonts w:ascii="BentonSans Book" w:hAnsi="BentonSans Book"/>
        </w:rPr>
        <w:t xml:space="preserve">the liquidity conditions </w:t>
      </w:r>
      <w:r w:rsidR="0036145C">
        <w:rPr>
          <w:rFonts w:ascii="BentonSans Book" w:hAnsi="BentonSans Book"/>
        </w:rPr>
        <w:t xml:space="preserve">in banking sector </w:t>
      </w:r>
      <w:r w:rsidR="0051313F">
        <w:rPr>
          <w:rFonts w:ascii="BentonSans Book" w:hAnsi="BentonSans Book"/>
        </w:rPr>
        <w:t>and banks’</w:t>
      </w:r>
      <w:r w:rsidR="00652A24" w:rsidRPr="00652A24">
        <w:rPr>
          <w:rFonts w:ascii="BentonSans Book" w:hAnsi="BentonSans Book"/>
        </w:rPr>
        <w:t xml:space="preserve"> efforts to remain competitive in the market</w:t>
      </w:r>
      <w:r w:rsidR="00870E7F">
        <w:rPr>
          <w:rFonts w:ascii="BentonSans Book" w:hAnsi="BentonSans Book"/>
        </w:rPr>
        <w:t>.</w:t>
      </w:r>
    </w:p>
    <w:p w14:paraId="3E8D73E1" w14:textId="0DEF98D7" w:rsidR="00870E7F" w:rsidRDefault="00870E7F" w:rsidP="00870E7F">
      <w:pPr>
        <w:spacing w:line="276" w:lineRule="auto"/>
        <w:jc w:val="both"/>
        <w:rPr>
          <w:rFonts w:ascii="BentonSans Book" w:hAnsi="BentonSans Book"/>
        </w:rPr>
      </w:pPr>
    </w:p>
    <w:p w14:paraId="3BC722FB" w14:textId="0443AC3F" w:rsidR="00870E7F" w:rsidRDefault="00870E7F" w:rsidP="00870E7F">
      <w:pPr>
        <w:spacing w:line="276" w:lineRule="auto"/>
        <w:jc w:val="both"/>
        <w:rPr>
          <w:rFonts w:ascii="BentonSans Book" w:hAnsi="BentonSans Book"/>
        </w:rPr>
      </w:pPr>
    </w:p>
    <w:p w14:paraId="3333AEC0" w14:textId="5F149033" w:rsidR="00870E7F" w:rsidRDefault="00870E7F" w:rsidP="00870E7F">
      <w:pPr>
        <w:spacing w:line="276" w:lineRule="auto"/>
        <w:jc w:val="both"/>
        <w:rPr>
          <w:rFonts w:ascii="BentonSans Book" w:hAnsi="BentonSans Book"/>
        </w:rPr>
      </w:pPr>
    </w:p>
    <w:p w14:paraId="32ECCE11" w14:textId="1E749BF2" w:rsidR="00870E7F" w:rsidRDefault="00870E7F" w:rsidP="00870E7F">
      <w:pPr>
        <w:spacing w:line="276" w:lineRule="auto"/>
        <w:jc w:val="both"/>
        <w:rPr>
          <w:rFonts w:ascii="BentonSans Book" w:hAnsi="BentonSans Book"/>
        </w:rPr>
      </w:pPr>
    </w:p>
    <w:p w14:paraId="7A8F682E" w14:textId="596DB6D5" w:rsidR="00870E7F" w:rsidRDefault="00870E7F" w:rsidP="00870E7F">
      <w:pPr>
        <w:spacing w:line="276" w:lineRule="auto"/>
        <w:jc w:val="both"/>
        <w:rPr>
          <w:rFonts w:ascii="BentonSans Book" w:hAnsi="BentonSans Book"/>
        </w:rPr>
      </w:pPr>
    </w:p>
    <w:p w14:paraId="610C004A" w14:textId="424ABB22" w:rsidR="00870E7F" w:rsidRDefault="00870E7F" w:rsidP="00870E7F">
      <w:pPr>
        <w:spacing w:line="276" w:lineRule="auto"/>
        <w:jc w:val="both"/>
        <w:rPr>
          <w:rFonts w:ascii="BentonSans Book" w:hAnsi="BentonSans Book"/>
        </w:rPr>
      </w:pPr>
    </w:p>
    <w:p w14:paraId="47F9D9C6" w14:textId="77777777" w:rsidR="00870E7F" w:rsidRDefault="00870E7F" w:rsidP="00870E7F">
      <w:pPr>
        <w:spacing w:line="276" w:lineRule="auto"/>
        <w:jc w:val="both"/>
        <w:rPr>
          <w:rFonts w:ascii="BentonSans Book" w:hAnsi="BentonSans Book"/>
        </w:rPr>
      </w:pPr>
    </w:p>
    <w:p w14:paraId="1E1FCD35" w14:textId="77777777" w:rsidR="00B709F4" w:rsidRDefault="00B709F4" w:rsidP="00A27F01">
      <w:pPr>
        <w:pStyle w:val="NormalWeb"/>
        <w:spacing w:before="120" w:after="120" w:line="360" w:lineRule="auto"/>
        <w:rPr>
          <w:rFonts w:ascii="BentonSans Book" w:hAnsi="BentonSans Book"/>
          <w:b/>
          <w:sz w:val="22"/>
          <w:szCs w:val="22"/>
        </w:rPr>
      </w:pPr>
    </w:p>
    <w:p w14:paraId="683C0D7C" w14:textId="55FB20A2" w:rsidR="00A27F01" w:rsidRPr="00B709F4" w:rsidRDefault="00A27F01" w:rsidP="00A27F01">
      <w:pPr>
        <w:pStyle w:val="NormalWeb"/>
        <w:spacing w:before="120" w:after="120" w:line="360" w:lineRule="auto"/>
        <w:rPr>
          <w:rFonts w:ascii="BentonSans Black" w:hAnsi="BentonSans Black"/>
          <w:b/>
          <w:sz w:val="22"/>
          <w:szCs w:val="22"/>
        </w:rPr>
      </w:pPr>
      <w:r w:rsidRPr="00B709F4">
        <w:rPr>
          <w:rFonts w:ascii="BentonSans Black" w:hAnsi="BentonSans Black"/>
          <w:b/>
          <w:noProof/>
          <w:sz w:val="22"/>
          <w:szCs w:val="22"/>
        </w:rPr>
        <mc:AlternateContent>
          <mc:Choice Requires="wps">
            <w:drawing>
              <wp:anchor distT="0" distB="0" distL="114300" distR="114300" simplePos="0" relativeHeight="251700224" behindDoc="0" locked="0" layoutInCell="1" allowOverlap="1" wp14:anchorId="365237CB" wp14:editId="1DD81666">
                <wp:simplePos x="0" y="0"/>
                <wp:positionH relativeFrom="margin">
                  <wp:align>right</wp:align>
                </wp:positionH>
                <wp:positionV relativeFrom="paragraph">
                  <wp:posOffset>223520</wp:posOffset>
                </wp:positionV>
                <wp:extent cx="5934075" cy="29527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5934075" cy="2952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296FE1" w14:textId="292E9AC0" w:rsidR="00A27F01" w:rsidRDefault="00883AFA" w:rsidP="00A27F01">
                            <w:r w:rsidRPr="00883AFA">
                              <w:rPr>
                                <w:noProof/>
                              </w:rPr>
                              <w:drawing>
                                <wp:inline distT="0" distB="0" distL="0" distR="0" wp14:anchorId="124C6B6A" wp14:editId="3F6EDD4C">
                                  <wp:extent cx="2676525" cy="281940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A27F01">
                              <w:t xml:space="preserve"> </w:t>
                            </w:r>
                            <w:r w:rsidR="00F96C8C">
                              <w:t xml:space="preserve"> </w:t>
                            </w:r>
                            <w:r w:rsidRPr="00883AFA">
                              <w:rPr>
                                <w:noProof/>
                              </w:rPr>
                              <w:drawing>
                                <wp:inline distT="0" distB="0" distL="0" distR="0" wp14:anchorId="7BF37EC7" wp14:editId="32AC5ADB">
                                  <wp:extent cx="2952750" cy="2816860"/>
                                  <wp:effectExtent l="0" t="0" r="0" b="254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237CB" id="Text Box 18" o:spid="_x0000_s1030" type="#_x0000_t202" style="position:absolute;margin-left:416.05pt;margin-top:17.6pt;width:467.25pt;height:232.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" fillcolor="white [3201]" strokeweight=".5pt">
                <v:textbox>
                  <w:txbxContent>
                    <w:p w14:paraId="23296FE1" w14:textId="292E9AC0" w:rsidR="00A27F01" w:rsidRDefault="00883AFA" w:rsidP="00A27F01">
                      <w:r w:rsidRPr="00883AFA">
                        <w:drawing>
                          <wp:inline distT="0" distB="0" distL="0" distR="0" wp14:anchorId="124C6B6A" wp14:editId="3F6EDD4C">
                            <wp:extent cx="2676525" cy="281940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A27F01">
                        <w:t xml:space="preserve"> </w:t>
                      </w:r>
                      <w:r w:rsidR="00F96C8C">
                        <w:t xml:space="preserve"> </w:t>
                      </w:r>
                      <w:r w:rsidRPr="00883AFA">
                        <w:drawing>
                          <wp:inline distT="0" distB="0" distL="0" distR="0" wp14:anchorId="7BF37EC7" wp14:editId="32AC5ADB">
                            <wp:extent cx="2952750" cy="2816860"/>
                            <wp:effectExtent l="0" t="0" r="0" b="254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w10:wrap anchorx="margin"/>
              </v:shape>
            </w:pict>
          </mc:Fallback>
        </mc:AlternateContent>
      </w:r>
      <w:r w:rsidRPr="00B709F4">
        <w:rPr>
          <w:rFonts w:ascii="BentonSans Black" w:hAnsi="BentonSans Black"/>
          <w:b/>
          <w:sz w:val="22"/>
          <w:szCs w:val="22"/>
        </w:rPr>
        <w:t xml:space="preserve">Figure 3: </w:t>
      </w:r>
      <w:r w:rsidR="00883AFA" w:rsidRPr="00B709F4">
        <w:rPr>
          <w:rFonts w:ascii="BentonSans Black" w:hAnsi="BentonSans Black"/>
          <w:b/>
          <w:sz w:val="22"/>
          <w:szCs w:val="22"/>
        </w:rPr>
        <w:t>Bank’s Expectations for Q2 2019</w:t>
      </w:r>
    </w:p>
    <w:p w14:paraId="5BD025B4" w14:textId="745CC5A9" w:rsidR="00B709F4" w:rsidRDefault="00B709F4" w:rsidP="00A27F01">
      <w:pPr>
        <w:pStyle w:val="NormalWeb"/>
        <w:spacing w:before="120" w:after="120" w:line="360" w:lineRule="auto"/>
        <w:rPr>
          <w:rFonts w:ascii="BentonSans Book" w:hAnsi="BentonSans Book"/>
          <w:b/>
          <w:sz w:val="22"/>
          <w:szCs w:val="22"/>
        </w:rPr>
      </w:pPr>
    </w:p>
    <w:p w14:paraId="2617D3BD" w14:textId="77777777" w:rsidR="00B709F4" w:rsidRDefault="00B709F4" w:rsidP="00A27F01">
      <w:pPr>
        <w:pStyle w:val="NormalWeb"/>
        <w:spacing w:before="120" w:after="120" w:line="360" w:lineRule="auto"/>
        <w:rPr>
          <w:rFonts w:ascii="BentonSans Book" w:hAnsi="BentonSans Book"/>
          <w:b/>
          <w:sz w:val="22"/>
          <w:szCs w:val="22"/>
        </w:rPr>
      </w:pPr>
    </w:p>
    <w:p w14:paraId="231F3944" w14:textId="77777777" w:rsidR="00B709F4" w:rsidRPr="009D1113" w:rsidRDefault="00B709F4" w:rsidP="00A27F01">
      <w:pPr>
        <w:pStyle w:val="NormalWeb"/>
        <w:spacing w:before="120" w:after="120" w:line="360" w:lineRule="auto"/>
        <w:rPr>
          <w:rFonts w:ascii="BentonSans Book" w:hAnsi="BentonSans Book"/>
          <w:b/>
          <w:sz w:val="22"/>
          <w:szCs w:val="22"/>
        </w:rPr>
      </w:pPr>
    </w:p>
    <w:p w14:paraId="62DE3A64" w14:textId="77777777" w:rsidR="00A27F01" w:rsidRPr="002A006E" w:rsidRDefault="00A27F01" w:rsidP="00A27F01">
      <w:pPr>
        <w:pStyle w:val="NormalWeb"/>
        <w:spacing w:before="120" w:after="120" w:line="360" w:lineRule="auto"/>
        <w:jc w:val="center"/>
        <w:rPr>
          <w:rFonts w:ascii="BentonSans Book" w:hAnsi="BentonSans Book"/>
          <w:b/>
          <w:color w:val="0070C0"/>
          <w:sz w:val="32"/>
          <w:szCs w:val="22"/>
        </w:rPr>
      </w:pPr>
    </w:p>
    <w:p w14:paraId="02730133" w14:textId="77777777" w:rsidR="00A27F01" w:rsidRPr="002A006E" w:rsidRDefault="00A27F01" w:rsidP="00A27F01">
      <w:pPr>
        <w:pStyle w:val="NormalWeb"/>
        <w:spacing w:before="120" w:after="120" w:line="360" w:lineRule="auto"/>
        <w:jc w:val="center"/>
        <w:rPr>
          <w:rFonts w:ascii="BentonSans Book" w:hAnsi="BentonSans Book"/>
          <w:b/>
          <w:color w:val="0070C0"/>
          <w:sz w:val="32"/>
          <w:szCs w:val="22"/>
        </w:rPr>
      </w:pPr>
    </w:p>
    <w:p w14:paraId="1101A01A" w14:textId="77777777" w:rsidR="00A27F01" w:rsidRPr="002A006E" w:rsidRDefault="00A27F01" w:rsidP="00A27F01">
      <w:pPr>
        <w:pStyle w:val="NormalWeb"/>
        <w:spacing w:before="120" w:after="120" w:line="360" w:lineRule="auto"/>
        <w:jc w:val="center"/>
        <w:rPr>
          <w:rFonts w:ascii="BentonSans Book" w:hAnsi="BentonSans Book"/>
          <w:b/>
          <w:color w:val="0070C0"/>
          <w:sz w:val="32"/>
          <w:szCs w:val="22"/>
        </w:rPr>
      </w:pPr>
    </w:p>
    <w:p w14:paraId="0667BD20" w14:textId="77777777" w:rsidR="00A27F01" w:rsidRPr="002A006E" w:rsidRDefault="00A27F01" w:rsidP="00A27F01">
      <w:pPr>
        <w:pStyle w:val="NormalWeb"/>
        <w:spacing w:before="120" w:after="120" w:line="360" w:lineRule="auto"/>
        <w:jc w:val="center"/>
        <w:rPr>
          <w:rFonts w:ascii="BentonSans Book" w:hAnsi="BentonSans Book"/>
          <w:b/>
          <w:color w:val="0070C0"/>
          <w:sz w:val="32"/>
          <w:szCs w:val="22"/>
        </w:rPr>
      </w:pPr>
    </w:p>
    <w:p w14:paraId="76E8F11B" w14:textId="01EFC260" w:rsidR="00883AFA" w:rsidRDefault="00883AFA" w:rsidP="00A27F01">
      <w:pPr>
        <w:pStyle w:val="NormalWeb"/>
        <w:spacing w:before="120" w:after="120" w:line="360" w:lineRule="auto"/>
        <w:rPr>
          <w:rFonts w:ascii="BentonSans Book" w:hAnsi="BentonSans Book"/>
          <w:b/>
          <w:sz w:val="22"/>
          <w:szCs w:val="22"/>
        </w:rPr>
      </w:pPr>
    </w:p>
    <w:p w14:paraId="7052BFFF" w14:textId="4AA6AA88" w:rsidR="00A27F01" w:rsidRPr="00BA5970" w:rsidRDefault="00A27F01" w:rsidP="00A27F01">
      <w:pPr>
        <w:pStyle w:val="NormalWeb"/>
        <w:spacing w:before="120" w:after="120" w:line="360" w:lineRule="auto"/>
        <w:rPr>
          <w:rFonts w:ascii="BentonSans Book" w:hAnsi="BentonSans Book"/>
          <w:sz w:val="22"/>
          <w:szCs w:val="22"/>
        </w:rPr>
      </w:pPr>
      <w:r w:rsidRPr="009D1113">
        <w:rPr>
          <w:rFonts w:ascii="BentonSans Book" w:hAnsi="BentonSans Book"/>
          <w:b/>
          <w:sz w:val="22"/>
          <w:szCs w:val="22"/>
        </w:rPr>
        <w:t>Source:</w:t>
      </w:r>
      <w:r w:rsidRPr="009D1113">
        <w:rPr>
          <w:rFonts w:ascii="BentonSans Book" w:hAnsi="BentonSans Book"/>
          <w:sz w:val="22"/>
          <w:szCs w:val="22"/>
        </w:rPr>
        <w:t xml:space="preserve"> Credit Survey Findings</w:t>
      </w:r>
    </w:p>
    <w:p w14:paraId="319C8649" w14:textId="77777777" w:rsidR="00BA5970" w:rsidRDefault="00BA5970" w:rsidP="009D1113">
      <w:pPr>
        <w:pStyle w:val="NormalWeb"/>
        <w:spacing w:before="120" w:after="120" w:line="360" w:lineRule="auto"/>
        <w:jc w:val="both"/>
        <w:rPr>
          <w:rFonts w:ascii="BentonSans Book" w:hAnsi="BentonSans Book"/>
          <w:sz w:val="22"/>
          <w:szCs w:val="22"/>
        </w:rPr>
      </w:pPr>
    </w:p>
    <w:p w14:paraId="5CD860AE" w14:textId="3DC57E3B" w:rsidR="00670DCE" w:rsidRDefault="00670DCE" w:rsidP="009D1113">
      <w:pPr>
        <w:pStyle w:val="NormalWeb"/>
        <w:spacing w:before="120" w:after="120" w:line="360" w:lineRule="auto"/>
        <w:jc w:val="both"/>
        <w:rPr>
          <w:rFonts w:ascii="BentonSans Book" w:hAnsi="BentonSans Book"/>
          <w:sz w:val="22"/>
          <w:szCs w:val="22"/>
        </w:rPr>
      </w:pPr>
    </w:p>
    <w:p w14:paraId="5C8867D6" w14:textId="62BC60D4" w:rsidR="00DB39ED" w:rsidRDefault="00DB39ED" w:rsidP="009D1113">
      <w:pPr>
        <w:pStyle w:val="NormalWeb"/>
        <w:spacing w:before="120" w:after="120" w:line="360" w:lineRule="auto"/>
        <w:jc w:val="both"/>
        <w:rPr>
          <w:rFonts w:ascii="BentonSans Book" w:hAnsi="BentonSans Book"/>
          <w:sz w:val="22"/>
          <w:szCs w:val="22"/>
        </w:rPr>
      </w:pPr>
    </w:p>
    <w:p w14:paraId="6FDB884B" w14:textId="36D5B78A" w:rsidR="00DB39ED" w:rsidRDefault="00DB39ED" w:rsidP="009D1113">
      <w:pPr>
        <w:pStyle w:val="NormalWeb"/>
        <w:spacing w:before="120" w:after="120" w:line="360" w:lineRule="auto"/>
        <w:jc w:val="both"/>
        <w:rPr>
          <w:rFonts w:ascii="BentonSans Book" w:hAnsi="BentonSans Book"/>
          <w:sz w:val="22"/>
          <w:szCs w:val="22"/>
        </w:rPr>
      </w:pPr>
    </w:p>
    <w:p w14:paraId="3FEEE78C" w14:textId="5507A510" w:rsidR="00DB39ED" w:rsidRDefault="00DB39ED" w:rsidP="009D1113">
      <w:pPr>
        <w:pStyle w:val="NormalWeb"/>
        <w:spacing w:before="120" w:after="120" w:line="360" w:lineRule="auto"/>
        <w:jc w:val="both"/>
        <w:rPr>
          <w:rFonts w:ascii="BentonSans Book" w:hAnsi="BentonSans Book"/>
          <w:sz w:val="22"/>
          <w:szCs w:val="22"/>
        </w:rPr>
      </w:pPr>
    </w:p>
    <w:p w14:paraId="215442B6" w14:textId="7D153859" w:rsidR="0036145C" w:rsidRDefault="0036145C" w:rsidP="009D1113">
      <w:pPr>
        <w:pStyle w:val="NormalWeb"/>
        <w:spacing w:before="120" w:after="120" w:line="360" w:lineRule="auto"/>
        <w:jc w:val="both"/>
        <w:rPr>
          <w:rFonts w:ascii="BentonSans Book" w:hAnsi="BentonSans Book"/>
          <w:sz w:val="22"/>
          <w:szCs w:val="22"/>
        </w:rPr>
      </w:pPr>
    </w:p>
    <w:p w14:paraId="321FBB20" w14:textId="7E61FFBC" w:rsidR="0036145C" w:rsidRDefault="0036145C" w:rsidP="009D1113">
      <w:pPr>
        <w:pStyle w:val="NormalWeb"/>
        <w:spacing w:before="120" w:after="120" w:line="360" w:lineRule="auto"/>
        <w:jc w:val="both"/>
        <w:rPr>
          <w:rFonts w:ascii="BentonSans Book" w:hAnsi="BentonSans Book"/>
          <w:sz w:val="22"/>
          <w:szCs w:val="22"/>
        </w:rPr>
      </w:pPr>
    </w:p>
    <w:p w14:paraId="109CCC5B" w14:textId="6198A1AF" w:rsidR="0036145C" w:rsidRDefault="0036145C" w:rsidP="009D1113">
      <w:pPr>
        <w:pStyle w:val="NormalWeb"/>
        <w:spacing w:before="120" w:after="120" w:line="360" w:lineRule="auto"/>
        <w:jc w:val="both"/>
        <w:rPr>
          <w:rFonts w:ascii="BentonSans Book" w:hAnsi="BentonSans Book"/>
          <w:sz w:val="22"/>
          <w:szCs w:val="22"/>
        </w:rPr>
      </w:pPr>
    </w:p>
    <w:p w14:paraId="377FA1CC" w14:textId="34D4BF36" w:rsidR="0036145C" w:rsidRDefault="0036145C" w:rsidP="009D1113">
      <w:pPr>
        <w:pStyle w:val="NormalWeb"/>
        <w:spacing w:before="120" w:after="120" w:line="360" w:lineRule="auto"/>
        <w:jc w:val="both"/>
        <w:rPr>
          <w:rFonts w:ascii="BentonSans Book" w:hAnsi="BentonSans Book"/>
          <w:sz w:val="22"/>
          <w:szCs w:val="22"/>
        </w:rPr>
      </w:pPr>
    </w:p>
    <w:p w14:paraId="60B85B0C" w14:textId="7A5E2FBF" w:rsidR="0036145C" w:rsidRDefault="0036145C" w:rsidP="009D1113">
      <w:pPr>
        <w:pStyle w:val="NormalWeb"/>
        <w:spacing w:before="120" w:after="120" w:line="360" w:lineRule="auto"/>
        <w:jc w:val="both"/>
        <w:rPr>
          <w:rFonts w:ascii="BentonSans Book" w:hAnsi="BentonSans Book"/>
          <w:sz w:val="22"/>
          <w:szCs w:val="22"/>
        </w:rPr>
      </w:pPr>
    </w:p>
    <w:p w14:paraId="0A5A9AC4" w14:textId="77777777" w:rsidR="0036145C" w:rsidRDefault="0036145C" w:rsidP="009D1113">
      <w:pPr>
        <w:pStyle w:val="NormalWeb"/>
        <w:spacing w:before="120" w:after="120" w:line="360" w:lineRule="auto"/>
        <w:jc w:val="both"/>
        <w:rPr>
          <w:rFonts w:ascii="BentonSans Book" w:hAnsi="BentonSans Book"/>
          <w:sz w:val="22"/>
          <w:szCs w:val="22"/>
        </w:rPr>
      </w:pPr>
    </w:p>
    <w:p w14:paraId="69AD2360" w14:textId="48544D8A" w:rsidR="00DB39ED" w:rsidRDefault="00DB39ED" w:rsidP="009D1113">
      <w:pPr>
        <w:pStyle w:val="NormalWeb"/>
        <w:spacing w:before="120" w:after="120" w:line="360" w:lineRule="auto"/>
        <w:jc w:val="both"/>
        <w:rPr>
          <w:rFonts w:ascii="BentonSans Book" w:hAnsi="BentonSans Book"/>
          <w:sz w:val="22"/>
          <w:szCs w:val="22"/>
        </w:rPr>
      </w:pPr>
    </w:p>
    <w:p w14:paraId="30749D14" w14:textId="28B2CC8A" w:rsidR="00BA5970" w:rsidRPr="009D1113" w:rsidRDefault="00BA5970" w:rsidP="009D1113">
      <w:pPr>
        <w:pStyle w:val="NormalWeb"/>
        <w:spacing w:before="120" w:after="120" w:line="360" w:lineRule="auto"/>
        <w:jc w:val="both"/>
        <w:rPr>
          <w:rFonts w:ascii="BentonSans Book" w:hAnsi="BentonSans Book"/>
          <w:sz w:val="22"/>
          <w:szCs w:val="22"/>
        </w:rPr>
      </w:pPr>
    </w:p>
    <w:p w14:paraId="04BAC5A3" w14:textId="49FB4515" w:rsidR="008713BC" w:rsidRPr="00B709F4" w:rsidRDefault="008F4287" w:rsidP="008713BC">
      <w:pPr>
        <w:pStyle w:val="NormalWeb"/>
        <w:spacing w:before="120" w:after="120" w:line="360" w:lineRule="auto"/>
        <w:rPr>
          <w:rFonts w:ascii="BentonSans Black" w:hAnsi="BentonSans Black"/>
          <w:b/>
          <w:sz w:val="22"/>
          <w:szCs w:val="22"/>
        </w:rPr>
      </w:pPr>
      <w:r w:rsidRPr="00B709F4">
        <w:rPr>
          <w:rFonts w:ascii="BentonSans Black" w:hAnsi="BentonSans Black"/>
          <w:b/>
          <w:sz w:val="22"/>
          <w:szCs w:val="22"/>
        </w:rPr>
        <w:t xml:space="preserve">Annex 1: </w:t>
      </w:r>
      <w:r w:rsidR="00E75BAA" w:rsidRPr="00B709F4">
        <w:rPr>
          <w:rFonts w:ascii="BentonSans Black" w:hAnsi="BentonSans Black"/>
          <w:b/>
          <w:sz w:val="22"/>
          <w:szCs w:val="22"/>
        </w:rPr>
        <w:t>List of Respondents</w:t>
      </w:r>
      <w:r w:rsidR="008713BC" w:rsidRPr="00B709F4">
        <w:rPr>
          <w:rFonts w:ascii="BentonSans Black" w:hAnsi="BentonSans Black"/>
          <w:b/>
          <w:sz w:val="22"/>
          <w:szCs w:val="22"/>
        </w:rPr>
        <w:t xml:space="preserve">                                                                                      </w:t>
      </w:r>
    </w:p>
    <w:p w14:paraId="0C3CA8A1" w14:textId="77777777"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1. AB BANK RWANDA Ltd                         </w:t>
      </w:r>
    </w:p>
    <w:p w14:paraId="0E1DD4A0" w14:textId="77777777" w:rsidR="008713BC" w:rsidRPr="00BA5970" w:rsidRDefault="008713BC" w:rsidP="00B709F4">
      <w:pPr>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2. ACCESS BANK RWANDA Plc                 </w:t>
      </w:r>
    </w:p>
    <w:p w14:paraId="2972B114" w14:textId="657F45A8" w:rsidR="008713BC" w:rsidRPr="00BA5970" w:rsidRDefault="008713BC" w:rsidP="00B709F4">
      <w:pPr>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3. BANK OF AFRICA RWANDA Plc            </w:t>
      </w:r>
    </w:p>
    <w:p w14:paraId="30001386" w14:textId="353F0D62" w:rsidR="008713BC" w:rsidRPr="00BA5970" w:rsidRDefault="00B82D72" w:rsidP="00B709F4">
      <w:pPr>
        <w:spacing w:line="276" w:lineRule="auto"/>
        <w:rPr>
          <w:rFonts w:ascii="BentonSans Book" w:eastAsia="Times New Roman" w:hAnsi="BentonSans Book" w:cs="Times New Roman"/>
        </w:rPr>
      </w:pPr>
      <w:r>
        <w:rPr>
          <w:rFonts w:ascii="BentonSans Book" w:eastAsia="Times New Roman" w:hAnsi="BentonSans Book" w:cs="Times New Roman"/>
        </w:rPr>
        <w:t>4. BANK OF KIGALI Plc</w:t>
      </w:r>
    </w:p>
    <w:p w14:paraId="0DF9CB8E" w14:textId="5EA02DBF"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5. BANQUE POPULAIRE DU RWANDA Ltd</w:t>
      </w:r>
    </w:p>
    <w:p w14:paraId="4302D230" w14:textId="77777777"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6. COGEBANQUE Plc                              </w:t>
      </w:r>
    </w:p>
    <w:p w14:paraId="5E465FD7" w14:textId="77777777"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7. COMMERCIAL BANK OF AFRICA RWANDA Plc</w:t>
      </w:r>
    </w:p>
    <w:p w14:paraId="4CD7A43B" w14:textId="77777777"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8. DEVELOPMENT BANK OF RWANDA Plc</w:t>
      </w:r>
    </w:p>
    <w:p w14:paraId="07C43F35" w14:textId="77777777"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9. ECOBANK RWANDA Ltd                       </w:t>
      </w:r>
    </w:p>
    <w:p w14:paraId="0EB98A95" w14:textId="77777777"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10. EQUITY BANK RWANDA Plc</w:t>
      </w:r>
    </w:p>
    <w:p w14:paraId="7F061DB0" w14:textId="77777777"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11. GT BANK RWANDA Plc</w:t>
      </w:r>
    </w:p>
    <w:p w14:paraId="28ADE58C" w14:textId="77777777"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12. I&amp;M BANK Plc                                       </w:t>
      </w:r>
    </w:p>
    <w:p w14:paraId="324BE209" w14:textId="4207F1EC"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13. KCB RWANDA Ltd</w:t>
      </w:r>
    </w:p>
    <w:p w14:paraId="242B3343" w14:textId="77777777"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14. UNGUKA BANK Ltd</w:t>
      </w:r>
    </w:p>
    <w:p w14:paraId="285A4977" w14:textId="77777777"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15. URWEGO BANK Plc                              </w:t>
      </w:r>
    </w:p>
    <w:p w14:paraId="2AC10F95" w14:textId="77777777" w:rsidR="008713BC" w:rsidRPr="008713BC"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16. ZIGAMA CSS                                     </w:t>
      </w:r>
    </w:p>
    <w:p w14:paraId="4B7F8731" w14:textId="77777777" w:rsidR="00E75BAA" w:rsidRPr="008713BC" w:rsidRDefault="00E75BAA" w:rsidP="00B709F4">
      <w:pPr>
        <w:spacing w:line="276" w:lineRule="auto"/>
        <w:ind w:right="-180"/>
        <w:rPr>
          <w:rFonts w:ascii="BentonSans Book" w:eastAsia="Times New Roman" w:hAnsi="BentonSans Book" w:cs="Times New Roman"/>
        </w:rPr>
      </w:pPr>
    </w:p>
    <w:p w14:paraId="76724840" w14:textId="77777777" w:rsidR="00E75BAA" w:rsidRPr="007B0230" w:rsidRDefault="00E75BAA" w:rsidP="00B709F4">
      <w:pPr>
        <w:spacing w:line="276" w:lineRule="auto"/>
        <w:ind w:right="-180"/>
        <w:rPr>
          <w:rFonts w:ascii="Bookman Old Style" w:hAnsi="Bookman Old Style"/>
        </w:rPr>
      </w:pPr>
      <w:r w:rsidRPr="007B0230">
        <w:rPr>
          <w:rFonts w:ascii="Bookman Old Style" w:hAnsi="Bookman Old Style"/>
        </w:rPr>
        <w:tab/>
      </w:r>
    </w:p>
    <w:p w14:paraId="194ABD35" w14:textId="77777777" w:rsidR="00E75BAA" w:rsidRPr="007B0230" w:rsidRDefault="00E75BAA" w:rsidP="00B709F4">
      <w:pPr>
        <w:spacing w:line="276" w:lineRule="auto"/>
        <w:ind w:right="-180"/>
        <w:rPr>
          <w:rFonts w:ascii="Bookman Old Style" w:hAnsi="Bookman Old Style"/>
        </w:rPr>
      </w:pPr>
    </w:p>
    <w:p w14:paraId="63495AC4" w14:textId="77777777" w:rsidR="00E75BAA" w:rsidRPr="008647D2" w:rsidRDefault="00E75BAA" w:rsidP="00B709F4">
      <w:pPr>
        <w:spacing w:after="0" w:line="276" w:lineRule="auto"/>
        <w:jc w:val="both"/>
        <w:rPr>
          <w:rFonts w:ascii="Bookman Old Style" w:hAnsi="Bookman Old Style"/>
          <w:b/>
        </w:rPr>
      </w:pPr>
    </w:p>
    <w:p w14:paraId="102BFA1B" w14:textId="77777777" w:rsidR="00E75BAA" w:rsidRPr="00625AD1" w:rsidRDefault="00E75BAA" w:rsidP="00E75BAA">
      <w:pPr>
        <w:spacing w:line="360" w:lineRule="auto"/>
        <w:jc w:val="both"/>
        <w:rPr>
          <w:rFonts w:ascii="Bookman Old Style" w:hAnsi="Bookman Old Style"/>
          <w:sz w:val="28"/>
          <w:lang w:val="en-GB"/>
        </w:rPr>
      </w:pPr>
    </w:p>
    <w:p w14:paraId="02269CAD" w14:textId="77777777" w:rsidR="00E75BAA" w:rsidRDefault="00E75BAA" w:rsidP="00E75BAA">
      <w:pPr>
        <w:spacing w:after="0"/>
        <w:jc w:val="both"/>
        <w:rPr>
          <w:rFonts w:ascii="Bookman Old Style" w:eastAsia="Calibri" w:hAnsi="Bookman Old Style" w:cs="Calibri"/>
          <w:color w:val="000000"/>
        </w:rPr>
      </w:pPr>
    </w:p>
    <w:p w14:paraId="1E555B89" w14:textId="77777777" w:rsidR="00E75BAA" w:rsidRDefault="00E75BAA" w:rsidP="00E75BAA">
      <w:pPr>
        <w:spacing w:after="0"/>
        <w:jc w:val="both"/>
        <w:rPr>
          <w:rFonts w:ascii="Bookman Old Style" w:eastAsia="Calibri" w:hAnsi="Bookman Old Style" w:cs="Calibri"/>
          <w:color w:val="000000"/>
        </w:rPr>
      </w:pPr>
    </w:p>
    <w:p w14:paraId="4BA56393" w14:textId="77777777" w:rsidR="00BA5970" w:rsidRDefault="00BA5970" w:rsidP="00E75BAA">
      <w:pPr>
        <w:spacing w:after="0"/>
        <w:jc w:val="both"/>
        <w:rPr>
          <w:rFonts w:ascii="Bookman Old Style" w:eastAsia="Calibri" w:hAnsi="Bookman Old Style" w:cs="Calibri"/>
          <w:color w:val="000000"/>
        </w:rPr>
      </w:pPr>
    </w:p>
    <w:p w14:paraId="22E9CFDA" w14:textId="77777777" w:rsidR="00BA5970" w:rsidRDefault="00BA5970" w:rsidP="00E75BAA">
      <w:pPr>
        <w:spacing w:after="0"/>
        <w:jc w:val="both"/>
        <w:rPr>
          <w:rFonts w:ascii="Bookman Old Style" w:eastAsia="Calibri" w:hAnsi="Bookman Old Style" w:cs="Calibri"/>
          <w:color w:val="000000"/>
        </w:rPr>
      </w:pPr>
    </w:p>
    <w:p w14:paraId="7ED7A2AD" w14:textId="77777777" w:rsidR="00BA5970" w:rsidRDefault="00BA5970" w:rsidP="00E75BAA">
      <w:pPr>
        <w:spacing w:after="0"/>
        <w:jc w:val="both"/>
        <w:rPr>
          <w:rFonts w:ascii="Bookman Old Style" w:eastAsia="Calibri" w:hAnsi="Bookman Old Style" w:cs="Calibri"/>
          <w:color w:val="000000"/>
        </w:rPr>
      </w:pPr>
    </w:p>
    <w:p w14:paraId="3188C7CD" w14:textId="77777777" w:rsidR="00BA5970" w:rsidRDefault="00BA5970" w:rsidP="00E75BAA">
      <w:pPr>
        <w:spacing w:after="0"/>
        <w:jc w:val="both"/>
        <w:rPr>
          <w:rFonts w:ascii="Bookman Old Style" w:eastAsia="Calibri" w:hAnsi="Bookman Old Style" w:cs="Calibri"/>
          <w:color w:val="000000"/>
        </w:rPr>
      </w:pPr>
    </w:p>
    <w:p w14:paraId="6765CE2D" w14:textId="77777777" w:rsidR="00BA5970" w:rsidRDefault="00BA5970" w:rsidP="00E75BAA">
      <w:pPr>
        <w:spacing w:after="0"/>
        <w:jc w:val="both"/>
        <w:rPr>
          <w:rFonts w:ascii="Bookman Old Style" w:eastAsia="Calibri" w:hAnsi="Bookman Old Style" w:cs="Calibri"/>
          <w:color w:val="000000"/>
        </w:rPr>
      </w:pPr>
    </w:p>
    <w:p w14:paraId="47A371DC" w14:textId="77777777" w:rsidR="00BA5970" w:rsidRDefault="00BA5970" w:rsidP="00E75BAA">
      <w:pPr>
        <w:spacing w:after="0"/>
        <w:jc w:val="both"/>
        <w:rPr>
          <w:rFonts w:ascii="Bookman Old Style" w:eastAsia="Calibri" w:hAnsi="Bookman Old Style" w:cs="Calibri"/>
          <w:color w:val="000000"/>
        </w:rPr>
      </w:pPr>
    </w:p>
    <w:p w14:paraId="6453D2C5" w14:textId="77777777" w:rsidR="00E75BAA" w:rsidRDefault="00E75BAA" w:rsidP="00E75BAA">
      <w:pPr>
        <w:spacing w:after="0"/>
        <w:jc w:val="both"/>
        <w:rPr>
          <w:rFonts w:ascii="Bookman Old Style" w:eastAsia="Calibri" w:hAnsi="Bookman Old Style" w:cs="Calibri"/>
          <w:color w:val="000000"/>
        </w:rPr>
      </w:pPr>
    </w:p>
    <w:p w14:paraId="7EC9C533" w14:textId="77777777" w:rsidR="00E75BAA" w:rsidRDefault="00E75BAA" w:rsidP="00E75BAA">
      <w:pPr>
        <w:spacing w:after="0"/>
        <w:jc w:val="both"/>
        <w:rPr>
          <w:rFonts w:ascii="Bookman Old Style" w:eastAsia="Calibri" w:hAnsi="Bookman Old Style" w:cs="Calibri"/>
          <w:color w:val="000000"/>
        </w:rPr>
      </w:pPr>
    </w:p>
    <w:p w14:paraId="1D9F3C7A" w14:textId="77777777" w:rsidR="00E75BAA" w:rsidRDefault="00E75BAA" w:rsidP="00E75BAA">
      <w:pPr>
        <w:spacing w:after="0"/>
        <w:jc w:val="both"/>
        <w:rPr>
          <w:rFonts w:ascii="Bookman Old Style" w:eastAsia="Calibri" w:hAnsi="Bookman Old Style" w:cs="Calibri"/>
          <w:color w:val="000000"/>
        </w:rPr>
      </w:pPr>
    </w:p>
    <w:p w14:paraId="00DFCD0C" w14:textId="77777777" w:rsidR="00E75BAA" w:rsidRDefault="00E75BAA" w:rsidP="00E75BAA">
      <w:pPr>
        <w:spacing w:after="0"/>
        <w:jc w:val="both"/>
        <w:rPr>
          <w:rFonts w:ascii="Bookman Old Style" w:eastAsia="Calibri" w:hAnsi="Bookman Old Style" w:cs="Calibri"/>
          <w:color w:val="000000"/>
        </w:rPr>
      </w:pPr>
    </w:p>
    <w:p w14:paraId="24C9E5BB" w14:textId="77777777" w:rsidR="00E75BAA" w:rsidRDefault="00E75BAA" w:rsidP="00E75BAA">
      <w:pPr>
        <w:pStyle w:val="NoSpacing"/>
        <w:shd w:val="clear" w:color="auto" w:fill="CC9900"/>
        <w:jc w:val="center"/>
      </w:pPr>
    </w:p>
    <w:p w14:paraId="707EFC64" w14:textId="77777777" w:rsidR="00E75BAA" w:rsidRDefault="00E75BAA" w:rsidP="00E75BAA">
      <w:pPr>
        <w:pStyle w:val="NoSpacing"/>
        <w:shd w:val="clear" w:color="auto" w:fill="CC9900"/>
        <w:jc w:val="center"/>
      </w:pPr>
    </w:p>
    <w:p w14:paraId="52A57C47" w14:textId="77777777" w:rsidR="00E75BAA" w:rsidRDefault="00E75BAA" w:rsidP="00E75BAA">
      <w:pPr>
        <w:pStyle w:val="NoSpacing"/>
        <w:shd w:val="clear" w:color="auto" w:fill="CC9900"/>
        <w:jc w:val="center"/>
      </w:pPr>
    </w:p>
    <w:p w14:paraId="319DA043" w14:textId="77777777" w:rsidR="00E75BAA" w:rsidRDefault="00E75BAA" w:rsidP="00E75BAA">
      <w:pPr>
        <w:pStyle w:val="NoSpacing"/>
        <w:shd w:val="clear" w:color="auto" w:fill="CC9900"/>
        <w:jc w:val="center"/>
      </w:pPr>
    </w:p>
    <w:p w14:paraId="0719F679" w14:textId="77777777" w:rsidR="00E75BAA" w:rsidRDefault="00E75BAA" w:rsidP="00E75BAA">
      <w:pPr>
        <w:pStyle w:val="NoSpacing"/>
        <w:shd w:val="clear" w:color="auto" w:fill="CC9900"/>
        <w:jc w:val="center"/>
      </w:pPr>
    </w:p>
    <w:p w14:paraId="0A11220E" w14:textId="77777777" w:rsidR="00E75BAA" w:rsidRDefault="00E75BAA" w:rsidP="00E75BAA">
      <w:pPr>
        <w:pStyle w:val="NoSpacing"/>
        <w:shd w:val="clear" w:color="auto" w:fill="CC9900"/>
        <w:jc w:val="center"/>
      </w:pPr>
    </w:p>
    <w:p w14:paraId="4E541900" w14:textId="77777777" w:rsidR="00E75BAA" w:rsidRDefault="00E75BAA" w:rsidP="00E75BAA">
      <w:pPr>
        <w:pStyle w:val="NoSpacing"/>
        <w:shd w:val="clear" w:color="auto" w:fill="CC9900"/>
        <w:jc w:val="center"/>
      </w:pPr>
    </w:p>
    <w:p w14:paraId="0B4FEB65" w14:textId="77777777" w:rsidR="00E75BAA" w:rsidRDefault="00E75BAA" w:rsidP="00E75BAA">
      <w:pPr>
        <w:pStyle w:val="NoSpacing"/>
        <w:shd w:val="clear" w:color="auto" w:fill="CC9900"/>
        <w:jc w:val="center"/>
      </w:pPr>
    </w:p>
    <w:p w14:paraId="140645BB" w14:textId="77777777" w:rsidR="00E75BAA" w:rsidRDefault="00E75BAA" w:rsidP="00E75BAA">
      <w:pPr>
        <w:pStyle w:val="NoSpacing"/>
        <w:shd w:val="clear" w:color="auto" w:fill="CC9900"/>
        <w:jc w:val="center"/>
      </w:pPr>
    </w:p>
    <w:p w14:paraId="4FADC7B6" w14:textId="77777777" w:rsidR="00E75BAA" w:rsidRDefault="00E75BAA" w:rsidP="00E75BAA">
      <w:pPr>
        <w:pStyle w:val="NoSpacing"/>
        <w:shd w:val="clear" w:color="auto" w:fill="CC9900"/>
        <w:jc w:val="center"/>
      </w:pPr>
    </w:p>
    <w:p w14:paraId="58D37479" w14:textId="77777777" w:rsidR="00E75BAA" w:rsidRDefault="00E75BAA" w:rsidP="00E75BAA">
      <w:pPr>
        <w:pStyle w:val="NoSpacing"/>
        <w:shd w:val="clear" w:color="auto" w:fill="CC9900"/>
        <w:jc w:val="center"/>
      </w:pPr>
    </w:p>
    <w:p w14:paraId="43281A40" w14:textId="77777777" w:rsidR="00E75BAA" w:rsidRDefault="00E75BAA" w:rsidP="00E75BAA">
      <w:pPr>
        <w:pStyle w:val="NoSpacing"/>
        <w:shd w:val="clear" w:color="auto" w:fill="CC9900"/>
        <w:jc w:val="center"/>
      </w:pPr>
    </w:p>
    <w:p w14:paraId="7483F059" w14:textId="77777777" w:rsidR="00E75BAA" w:rsidRDefault="00E75BAA" w:rsidP="00E75BAA">
      <w:pPr>
        <w:pStyle w:val="NoSpacing"/>
        <w:shd w:val="clear" w:color="auto" w:fill="CC9900"/>
        <w:jc w:val="center"/>
      </w:pPr>
    </w:p>
    <w:p w14:paraId="04A88424" w14:textId="77777777" w:rsidR="00E75BAA" w:rsidRDefault="00E75BAA" w:rsidP="00E75BAA">
      <w:pPr>
        <w:pStyle w:val="NoSpacing"/>
        <w:shd w:val="clear" w:color="auto" w:fill="CC9900"/>
        <w:jc w:val="center"/>
      </w:pPr>
    </w:p>
    <w:p w14:paraId="4FE20BA7" w14:textId="77777777" w:rsidR="00E75BAA" w:rsidRDefault="00E75BAA" w:rsidP="00E75BAA">
      <w:pPr>
        <w:pStyle w:val="NoSpacing"/>
        <w:shd w:val="clear" w:color="auto" w:fill="CC9900"/>
        <w:jc w:val="center"/>
      </w:pPr>
    </w:p>
    <w:p w14:paraId="2DE5F6D0" w14:textId="77777777" w:rsidR="00E75BAA" w:rsidRDefault="00E75BAA" w:rsidP="00E75BAA">
      <w:pPr>
        <w:pStyle w:val="NoSpacing"/>
        <w:shd w:val="clear" w:color="auto" w:fill="CC9900"/>
        <w:jc w:val="center"/>
      </w:pPr>
    </w:p>
    <w:p w14:paraId="6A3A47AD" w14:textId="77777777" w:rsidR="00E75BAA" w:rsidRDefault="00E75BAA" w:rsidP="00E75BAA">
      <w:pPr>
        <w:pStyle w:val="NoSpacing"/>
        <w:shd w:val="clear" w:color="auto" w:fill="CC9900"/>
        <w:jc w:val="center"/>
      </w:pPr>
    </w:p>
    <w:p w14:paraId="58DCA7F0" w14:textId="77777777" w:rsidR="00E75BAA" w:rsidRDefault="00E75BAA" w:rsidP="00E75BAA">
      <w:pPr>
        <w:pStyle w:val="NoSpacing"/>
        <w:shd w:val="clear" w:color="auto" w:fill="CC9900"/>
        <w:jc w:val="center"/>
      </w:pPr>
    </w:p>
    <w:p w14:paraId="24239834" w14:textId="77777777" w:rsidR="00E75BAA" w:rsidRDefault="00E75BAA" w:rsidP="00E75BAA">
      <w:pPr>
        <w:pStyle w:val="NoSpacing"/>
        <w:shd w:val="clear" w:color="auto" w:fill="CC9900"/>
        <w:jc w:val="center"/>
      </w:pPr>
      <w:r w:rsidRPr="00A97E30">
        <w:rPr>
          <w:noProof/>
        </w:rPr>
        <w:drawing>
          <wp:inline distT="0" distB="0" distL="0" distR="0" wp14:anchorId="47E5904D" wp14:editId="4CDDC425">
            <wp:extent cx="4048125" cy="1666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48125" cy="1666875"/>
                    </a:xfrm>
                    <a:prstGeom prst="rect">
                      <a:avLst/>
                    </a:prstGeom>
                    <a:noFill/>
                    <a:ln>
                      <a:noFill/>
                    </a:ln>
                  </pic:spPr>
                </pic:pic>
              </a:graphicData>
            </a:graphic>
          </wp:inline>
        </w:drawing>
      </w:r>
    </w:p>
    <w:p w14:paraId="0492B998" w14:textId="77777777" w:rsidR="00E75BAA" w:rsidRDefault="00E75BAA" w:rsidP="00E75BAA">
      <w:pPr>
        <w:pStyle w:val="NoSpacing"/>
        <w:shd w:val="clear" w:color="auto" w:fill="CC9900"/>
        <w:jc w:val="center"/>
      </w:pPr>
    </w:p>
    <w:p w14:paraId="0BE6A043" w14:textId="77777777" w:rsidR="00E75BAA" w:rsidRDefault="00E75BAA" w:rsidP="00E75BAA">
      <w:pPr>
        <w:pStyle w:val="NoSpacing"/>
        <w:shd w:val="clear" w:color="auto" w:fill="CC9900"/>
        <w:jc w:val="center"/>
      </w:pPr>
    </w:p>
    <w:p w14:paraId="299EEBFB" w14:textId="77777777" w:rsidR="00E75BAA" w:rsidRDefault="00E75BAA" w:rsidP="00E75BAA">
      <w:pPr>
        <w:pStyle w:val="NoSpacing"/>
        <w:shd w:val="clear" w:color="auto" w:fill="CC9900"/>
        <w:jc w:val="center"/>
      </w:pPr>
    </w:p>
    <w:p w14:paraId="50CFB428" w14:textId="77777777" w:rsidR="00E75BAA" w:rsidRDefault="00E75BAA" w:rsidP="00E75BAA">
      <w:pPr>
        <w:pStyle w:val="NoSpacing"/>
        <w:shd w:val="clear" w:color="auto" w:fill="CC9900"/>
        <w:jc w:val="center"/>
      </w:pPr>
    </w:p>
    <w:p w14:paraId="4B3F304E" w14:textId="77777777" w:rsidR="00E75BAA" w:rsidRDefault="00E75BAA" w:rsidP="00E75BAA">
      <w:pPr>
        <w:pStyle w:val="NoSpacing"/>
        <w:shd w:val="clear" w:color="auto" w:fill="CC9900"/>
        <w:jc w:val="center"/>
      </w:pPr>
    </w:p>
    <w:p w14:paraId="522D0F01" w14:textId="77777777" w:rsidR="00E75BAA" w:rsidRDefault="00E75BAA" w:rsidP="00E75BAA">
      <w:pPr>
        <w:pStyle w:val="NoSpacing"/>
        <w:shd w:val="clear" w:color="auto" w:fill="CC9900"/>
        <w:jc w:val="center"/>
      </w:pPr>
    </w:p>
    <w:p w14:paraId="25A57E12" w14:textId="77777777" w:rsidR="00E75BAA" w:rsidRDefault="00E75BAA" w:rsidP="00E75BAA">
      <w:pPr>
        <w:pStyle w:val="NoSpacing"/>
        <w:shd w:val="clear" w:color="auto" w:fill="CC9900"/>
        <w:jc w:val="center"/>
      </w:pPr>
    </w:p>
    <w:p w14:paraId="58E230CF" w14:textId="77777777" w:rsidR="00E75BAA" w:rsidRDefault="00E75BAA" w:rsidP="00E75BAA">
      <w:pPr>
        <w:pStyle w:val="NoSpacing"/>
        <w:shd w:val="clear" w:color="auto" w:fill="CC9900"/>
        <w:jc w:val="center"/>
      </w:pPr>
    </w:p>
    <w:p w14:paraId="78775ED8" w14:textId="77777777" w:rsidR="00E75BAA" w:rsidRDefault="00E75BAA" w:rsidP="00E75BAA">
      <w:pPr>
        <w:pStyle w:val="NoSpacing"/>
        <w:shd w:val="clear" w:color="auto" w:fill="CC9900"/>
        <w:jc w:val="center"/>
      </w:pPr>
    </w:p>
    <w:p w14:paraId="167E8905" w14:textId="77777777" w:rsidR="00E75BAA" w:rsidRDefault="00E75BAA" w:rsidP="00E75BAA">
      <w:pPr>
        <w:pStyle w:val="NoSpacing"/>
        <w:shd w:val="clear" w:color="auto" w:fill="CC9900"/>
        <w:jc w:val="center"/>
      </w:pPr>
    </w:p>
    <w:p w14:paraId="0F5B44BC" w14:textId="77777777" w:rsidR="00E75BAA" w:rsidRDefault="00E75BAA" w:rsidP="00E75BAA">
      <w:pPr>
        <w:pStyle w:val="NoSpacing"/>
        <w:shd w:val="clear" w:color="auto" w:fill="CC9900"/>
        <w:jc w:val="center"/>
      </w:pPr>
    </w:p>
    <w:p w14:paraId="3B689173" w14:textId="77777777" w:rsidR="00E75BAA" w:rsidRDefault="00E75BAA" w:rsidP="00E75BAA">
      <w:pPr>
        <w:pStyle w:val="NoSpacing"/>
        <w:shd w:val="clear" w:color="auto" w:fill="CC9900"/>
        <w:jc w:val="center"/>
      </w:pPr>
    </w:p>
    <w:p w14:paraId="609F182E" w14:textId="2574A82A" w:rsidR="00D85BF4" w:rsidRPr="00E75BAA" w:rsidRDefault="00D85BF4" w:rsidP="00E75BAA">
      <w:pPr>
        <w:spacing w:after="0"/>
        <w:jc w:val="both"/>
        <w:rPr>
          <w:rFonts w:ascii="Bookman Old Style" w:eastAsia="Calibri" w:hAnsi="Bookman Old Style" w:cs="Calibri"/>
          <w:color w:val="000000"/>
        </w:rPr>
      </w:pPr>
    </w:p>
    <w:sectPr w:rsidR="00D85BF4" w:rsidRPr="00E75BAA" w:rsidSect="00A9267E">
      <w:footerReference w:type="default" r:id="rId26"/>
      <w:pgSz w:w="12240" w:h="15840"/>
      <w:pgMar w:top="990" w:right="1260" w:bottom="1350" w:left="1440" w:header="720" w:footer="720" w:gutter="0"/>
      <w:pgBorders w:offsetFrom="page">
        <w:top w:val="double" w:sz="4" w:space="24" w:color="BF8F00" w:themeColor="accent4" w:themeShade="BF"/>
        <w:left w:val="double" w:sz="4" w:space="24" w:color="BF8F00" w:themeColor="accent4" w:themeShade="BF"/>
        <w:bottom w:val="double" w:sz="4" w:space="24" w:color="BF8F00" w:themeColor="accent4" w:themeShade="BF"/>
        <w:right w:val="double" w:sz="4" w:space="24" w:color="BF8F00" w:themeColor="accent4" w:themeShade="BF"/>
      </w:pgBorders>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F387E5" w14:textId="77777777" w:rsidR="00FC20A9" w:rsidRDefault="00FC20A9" w:rsidP="002D5ADD">
      <w:pPr>
        <w:spacing w:after="0" w:line="240" w:lineRule="auto"/>
      </w:pPr>
      <w:r>
        <w:separator/>
      </w:r>
    </w:p>
  </w:endnote>
  <w:endnote w:type="continuationSeparator" w:id="0">
    <w:p w14:paraId="1F278EEC" w14:textId="77777777" w:rsidR="00FC20A9" w:rsidRDefault="00FC20A9" w:rsidP="002D5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Frutiger CE 45 Light">
    <w:altName w:val="Frutiger CE 45 Light"/>
    <w:panose1 w:val="00000000000000000000"/>
    <w:charset w:val="00"/>
    <w:family w:val="swiss"/>
    <w:notTrueType/>
    <w:pitch w:val="default"/>
    <w:sig w:usb0="00000003" w:usb1="00000000" w:usb2="00000000" w:usb3="00000000" w:csb0="00000001" w:csb1="00000000"/>
  </w:font>
  <w:font w:name="HelveticaNeueLT Pro 65 Md">
    <w:altName w:val="HelveticaNeueLT Pro 65 M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ntonSans Bold">
    <w:panose1 w:val="02000503040000020004"/>
    <w:charset w:val="00"/>
    <w:family w:val="modern"/>
    <w:notTrueType/>
    <w:pitch w:val="variable"/>
    <w:sig w:usb0="8000002F" w:usb1="5000004A" w:usb2="00000000" w:usb3="00000000" w:csb0="00000001" w:csb1="00000000"/>
  </w:font>
  <w:font w:name="BentonSans Book">
    <w:altName w:val="Corbel"/>
    <w:panose1 w:val="02000503040000020004"/>
    <w:charset w:val="00"/>
    <w:family w:val="modern"/>
    <w:notTrueType/>
    <w:pitch w:val="variable"/>
    <w:sig w:usb0="8000002F" w:usb1="5000004A" w:usb2="00000000" w:usb3="00000000" w:csb0="00000001" w:csb1="00000000"/>
  </w:font>
  <w:font w:name="BentonSans Black">
    <w:panose1 w:val="02000503040000020004"/>
    <w:charset w:val="00"/>
    <w:family w:val="modern"/>
    <w:notTrueType/>
    <w:pitch w:val="variable"/>
    <w:sig w:usb0="8000002F" w:usb1="5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45ED4" w14:textId="77777777" w:rsidR="00C11618" w:rsidRDefault="00C11618" w:rsidP="00E35D50">
    <w:pPr>
      <w:pStyle w:val="Footer"/>
      <w:jc w:val="center"/>
    </w:pPr>
  </w:p>
  <w:p w14:paraId="20D6C049" w14:textId="77777777" w:rsidR="00C11618" w:rsidRDefault="00C11618" w:rsidP="000E1A3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entonSans Book" w:hAnsi="BentonSans Book"/>
      </w:rPr>
      <w:id w:val="1558048110"/>
      <w:docPartObj>
        <w:docPartGallery w:val="Page Numbers (Bottom of Page)"/>
        <w:docPartUnique/>
      </w:docPartObj>
    </w:sdtPr>
    <w:sdtEndPr/>
    <w:sdtContent>
      <w:p w14:paraId="0D68907F" w14:textId="77777777" w:rsidR="00C11618" w:rsidRPr="00CD56D3" w:rsidRDefault="00C11618">
        <w:pPr>
          <w:pStyle w:val="Footer"/>
          <w:jc w:val="right"/>
          <w:rPr>
            <w:rFonts w:ascii="BentonSans Book" w:hAnsi="BentonSans Book"/>
          </w:rPr>
        </w:pPr>
        <w:r w:rsidRPr="00CD56D3">
          <w:rPr>
            <w:rFonts w:ascii="BentonSans Book" w:hAnsi="BentonSans Book"/>
            <w:noProof/>
          </w:rPr>
          <mc:AlternateContent>
            <mc:Choice Requires="wps">
              <w:drawing>
                <wp:anchor distT="0" distB="0" distL="114300" distR="114300" simplePos="0" relativeHeight="251659264" behindDoc="0" locked="0" layoutInCell="1" allowOverlap="1" wp14:anchorId="3A7A97D4" wp14:editId="0C1F84CC">
                  <wp:simplePos x="0" y="0"/>
                  <wp:positionH relativeFrom="margin">
                    <wp:align>right</wp:align>
                  </wp:positionH>
                  <wp:positionV relativeFrom="paragraph">
                    <wp:posOffset>226060</wp:posOffset>
                  </wp:positionV>
                  <wp:extent cx="485775" cy="285750"/>
                  <wp:effectExtent l="0" t="0" r="28575" b="19050"/>
                  <wp:wrapNone/>
                  <wp:docPr id="110" name="Text Box 110"/>
                  <wp:cNvGraphicFramePr/>
                  <a:graphic xmlns:a="http://schemas.openxmlformats.org/drawingml/2006/main">
                    <a:graphicData uri="http://schemas.microsoft.com/office/word/2010/wordprocessingShape">
                      <wps:wsp>
                        <wps:cNvSpPr txBox="1"/>
                        <wps:spPr>
                          <a:xfrm>
                            <a:off x="0" y="0"/>
                            <a:ext cx="485775" cy="285750"/>
                          </a:xfrm>
                          <a:prstGeom prst="rect">
                            <a:avLst/>
                          </a:prstGeom>
                          <a:solidFill>
                            <a:schemeClr val="accent5">
                              <a:lumMod val="20000"/>
                              <a:lumOff val="80000"/>
                            </a:schemeClr>
                          </a:solid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5AAE1F60" w14:textId="28CE57F3" w:rsidR="00C11618" w:rsidRPr="00CD56D3" w:rsidRDefault="00C11618" w:rsidP="002A7796">
                              <w:pPr>
                                <w:pStyle w:val="Footer"/>
                                <w:shd w:val="clear" w:color="auto" w:fill="FFC000" w:themeFill="accent4"/>
                                <w:jc w:val="center"/>
                                <w:rPr>
                                  <w:rFonts w:ascii="BentonSans Book" w:hAnsi="BentonSans Book"/>
                                  <w:sz w:val="26"/>
                                </w:rPr>
                              </w:pPr>
                              <w:r w:rsidRPr="00CD56D3">
                                <w:rPr>
                                  <w:rFonts w:ascii="BentonSans Book" w:hAnsi="BentonSans Book"/>
                                  <w:sz w:val="26"/>
                                </w:rPr>
                                <w:fldChar w:fldCharType="begin"/>
                              </w:r>
                              <w:r w:rsidRPr="00CD56D3">
                                <w:rPr>
                                  <w:rFonts w:ascii="BentonSans Book" w:hAnsi="BentonSans Book"/>
                                  <w:sz w:val="26"/>
                                </w:rPr>
                                <w:instrText xml:space="preserve"> PAGE   \* MERGEFORMAT </w:instrText>
                              </w:r>
                              <w:r w:rsidRPr="00CD56D3">
                                <w:rPr>
                                  <w:rFonts w:ascii="BentonSans Book" w:hAnsi="BentonSans Book"/>
                                  <w:sz w:val="26"/>
                                </w:rPr>
                                <w:fldChar w:fldCharType="separate"/>
                              </w:r>
                              <w:r w:rsidR="009007A7">
                                <w:rPr>
                                  <w:rFonts w:ascii="BentonSans Book" w:hAnsi="BentonSans Book"/>
                                  <w:noProof/>
                                  <w:sz w:val="26"/>
                                </w:rPr>
                                <w:t>-</w:t>
                              </w:r>
                              <w:r w:rsidR="009007A7" w:rsidRPr="009007A7">
                                <w:rPr>
                                  <w:rFonts w:ascii="BentonSans Book" w:hAnsi="BentonSans Book"/>
                                  <w:noProof/>
                                  <w:sz w:val="24"/>
                                </w:rPr>
                                <w:t xml:space="preserve"> 8 -</w:t>
                              </w:r>
                              <w:r w:rsidRPr="00CD56D3">
                                <w:rPr>
                                  <w:rFonts w:ascii="BentonSans Book" w:hAnsi="BentonSans Book"/>
                                  <w:sz w:val="26"/>
                                </w:rPr>
                                <w:fldChar w:fldCharType="end"/>
                              </w:r>
                            </w:p>
                            <w:p w14:paraId="64F67CB7" w14:textId="77777777" w:rsidR="00C11618" w:rsidRPr="004A7AB3" w:rsidRDefault="00C11618" w:rsidP="00E80E4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A97D4" id="_x0000_t202" coordsize="21600,21600" o:spt="202" path="m,l,21600r21600,l21600,xe">
                  <v:stroke joinstyle="miter"/>
                  <v:path gradientshapeok="t" o:connecttype="rect"/>
                </v:shapetype>
                <v:shape id="Text Box 110" o:spid="_x0000_s1031" type="#_x0000_t202" style="position:absolute;left:0;text-align:left;margin-left:-12.95pt;margin-top:17.8pt;width:38.25pt;height:2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" fillcolor="#deeaf6 [664]" strokecolor="#44546a [3215]" strokeweight=".5pt">
                  <v:textbox>
                    <w:txbxContent>
                      <w:p w14:paraId="5AAE1F60" w14:textId="28CE57F3" w:rsidR="00C11618" w:rsidRPr="00CD56D3" w:rsidRDefault="00C11618" w:rsidP="002A7796">
                        <w:pPr>
                          <w:pStyle w:val="Footer"/>
                          <w:shd w:val="clear" w:color="auto" w:fill="FFC000" w:themeFill="accent4"/>
                          <w:jc w:val="center"/>
                          <w:rPr>
                            <w:rFonts w:ascii="BentonSans Book" w:hAnsi="BentonSans Book"/>
                            <w:sz w:val="26"/>
                          </w:rPr>
                        </w:pPr>
                        <w:r w:rsidRPr="00CD56D3">
                          <w:rPr>
                            <w:rFonts w:ascii="BentonSans Book" w:hAnsi="BentonSans Book"/>
                            <w:sz w:val="26"/>
                          </w:rPr>
                          <w:fldChar w:fldCharType="begin"/>
                        </w:r>
                        <w:r w:rsidRPr="00CD56D3">
                          <w:rPr>
                            <w:rFonts w:ascii="BentonSans Book" w:hAnsi="BentonSans Book"/>
                            <w:sz w:val="26"/>
                          </w:rPr>
                          <w:instrText xml:space="preserve"> PAGE   \* MERGEFORMAT </w:instrText>
                        </w:r>
                        <w:r w:rsidRPr="00CD56D3">
                          <w:rPr>
                            <w:rFonts w:ascii="BentonSans Book" w:hAnsi="BentonSans Book"/>
                            <w:sz w:val="26"/>
                          </w:rPr>
                          <w:fldChar w:fldCharType="separate"/>
                        </w:r>
                        <w:r w:rsidR="009007A7">
                          <w:rPr>
                            <w:rFonts w:ascii="BentonSans Book" w:hAnsi="BentonSans Book"/>
                            <w:noProof/>
                            <w:sz w:val="26"/>
                          </w:rPr>
                          <w:t>-</w:t>
                        </w:r>
                        <w:r w:rsidR="009007A7" w:rsidRPr="009007A7">
                          <w:rPr>
                            <w:rFonts w:ascii="BentonSans Book" w:hAnsi="BentonSans Book"/>
                            <w:noProof/>
                            <w:sz w:val="24"/>
                          </w:rPr>
                          <w:t xml:space="preserve"> 8 -</w:t>
                        </w:r>
                        <w:r w:rsidRPr="00CD56D3">
                          <w:rPr>
                            <w:rFonts w:ascii="BentonSans Book" w:hAnsi="BentonSans Book"/>
                            <w:sz w:val="26"/>
                          </w:rPr>
                          <w:fldChar w:fldCharType="end"/>
                        </w:r>
                      </w:p>
                      <w:p w14:paraId="64F67CB7" w14:textId="77777777" w:rsidR="00C11618" w:rsidRPr="004A7AB3" w:rsidRDefault="00C11618" w:rsidP="00E80E4C">
                        <w:pPr>
                          <w:rPr>
                            <w:sz w:val="20"/>
                            <w:szCs w:val="20"/>
                          </w:rPr>
                        </w:pPr>
                      </w:p>
                    </w:txbxContent>
                  </v:textbox>
                  <w10:wrap anchorx="margin"/>
                </v:shape>
              </w:pict>
            </mc:Fallback>
          </mc:AlternateContent>
        </w:r>
      </w:p>
      <w:tbl>
        <w:tblPr>
          <w:tblW w:w="8926" w:type="dxa"/>
          <w:tblInd w:w="-196" w:type="dxa"/>
          <w:tblBorders>
            <w:top w:val="double" w:sz="4" w:space="0" w:color="auto"/>
            <w:insideH w:val="single" w:sz="12" w:space="0" w:color="9BBB59"/>
            <w:insideV w:val="single" w:sz="2" w:space="0" w:color="9BBB59"/>
          </w:tblBorders>
          <w:shd w:val="clear" w:color="auto" w:fill="EAF1DD"/>
          <w:tblLook w:val="04A0" w:firstRow="1" w:lastRow="0" w:firstColumn="1" w:lastColumn="0" w:noHBand="0" w:noVBand="1"/>
        </w:tblPr>
        <w:tblGrid>
          <w:gridCol w:w="3346"/>
          <w:gridCol w:w="3330"/>
          <w:gridCol w:w="2250"/>
        </w:tblGrid>
        <w:tr w:rsidR="00C11618" w:rsidRPr="00CD56D3" w14:paraId="569927F3" w14:textId="77777777" w:rsidTr="009E36BF">
          <w:trPr>
            <w:trHeight w:val="600"/>
          </w:trPr>
          <w:tc>
            <w:tcPr>
              <w:tcW w:w="3346" w:type="dxa"/>
              <w:shd w:val="clear" w:color="auto" w:fill="DEEAF6" w:themeFill="accent5" w:themeFillTint="33"/>
              <w:vAlign w:val="center"/>
            </w:tcPr>
            <w:p w14:paraId="7F7C0F81" w14:textId="77777777" w:rsidR="00C11618" w:rsidRPr="00AF0B8C" w:rsidRDefault="00C11618" w:rsidP="00E80E4C">
              <w:pPr>
                <w:pStyle w:val="Footer"/>
                <w:tabs>
                  <w:tab w:val="left" w:pos="6336"/>
                </w:tabs>
                <w:jc w:val="center"/>
                <w:rPr>
                  <w:rFonts w:ascii="BentonSans Book" w:hAnsi="BentonSans Book"/>
                  <w:b/>
                  <w:sz w:val="18"/>
                </w:rPr>
              </w:pPr>
              <w:r w:rsidRPr="00AF0B8C">
                <w:rPr>
                  <w:rFonts w:ascii="BentonSans Book" w:hAnsi="BentonSans Book"/>
                  <w:b/>
                  <w:sz w:val="18"/>
                </w:rPr>
                <w:t>NATIONAL BANK OF RWANDA</w:t>
              </w:r>
            </w:p>
          </w:tc>
          <w:tc>
            <w:tcPr>
              <w:tcW w:w="3330" w:type="dxa"/>
              <w:shd w:val="clear" w:color="auto" w:fill="DEEAF6" w:themeFill="accent5" w:themeFillTint="33"/>
              <w:vAlign w:val="center"/>
            </w:tcPr>
            <w:p w14:paraId="556BD0FB" w14:textId="77777777" w:rsidR="00C11618" w:rsidRPr="00AF0B8C" w:rsidRDefault="00384385" w:rsidP="00E80E4C">
              <w:pPr>
                <w:pStyle w:val="Footer"/>
                <w:tabs>
                  <w:tab w:val="left" w:pos="6336"/>
                </w:tabs>
                <w:jc w:val="center"/>
                <w:rPr>
                  <w:rFonts w:ascii="BentonSans Book" w:hAnsi="BentonSans Book"/>
                  <w:b/>
                  <w:sz w:val="18"/>
                </w:rPr>
              </w:pPr>
              <w:r w:rsidRPr="00AF0B8C">
                <w:rPr>
                  <w:rFonts w:ascii="BentonSans Book" w:hAnsi="BentonSans Book"/>
                  <w:b/>
                  <w:sz w:val="18"/>
                </w:rPr>
                <w:t>CREDIT SURVEY REPORT</w:t>
              </w:r>
            </w:p>
          </w:tc>
          <w:tc>
            <w:tcPr>
              <w:tcW w:w="2250" w:type="dxa"/>
              <w:shd w:val="clear" w:color="auto" w:fill="DEEAF6" w:themeFill="accent5" w:themeFillTint="33"/>
              <w:vAlign w:val="center"/>
            </w:tcPr>
            <w:p w14:paraId="243D169C" w14:textId="53AA6731" w:rsidR="00C11618" w:rsidRPr="00AF0B8C" w:rsidRDefault="00ED0A01" w:rsidP="00F66B92">
              <w:pPr>
                <w:pStyle w:val="Footer"/>
                <w:tabs>
                  <w:tab w:val="left" w:pos="6336"/>
                </w:tabs>
                <w:jc w:val="center"/>
                <w:rPr>
                  <w:rFonts w:ascii="BentonSans Book" w:hAnsi="BentonSans Book"/>
                  <w:b/>
                  <w:sz w:val="18"/>
                </w:rPr>
              </w:pPr>
              <w:r>
                <w:rPr>
                  <w:rFonts w:ascii="BentonSans Book" w:hAnsi="BentonSans Book"/>
                  <w:b/>
                  <w:sz w:val="18"/>
                </w:rPr>
                <w:t>QUARTER ONE</w:t>
              </w:r>
              <w:r w:rsidR="00CD56D3" w:rsidRPr="00AF0B8C">
                <w:rPr>
                  <w:rFonts w:ascii="BentonSans Book" w:hAnsi="BentonSans Book"/>
                  <w:b/>
                  <w:sz w:val="18"/>
                </w:rPr>
                <w:t xml:space="preserve"> </w:t>
              </w:r>
              <w:r w:rsidR="00384385" w:rsidRPr="00AF0B8C">
                <w:rPr>
                  <w:rFonts w:ascii="BentonSans Book" w:hAnsi="BentonSans Book"/>
                  <w:b/>
                  <w:sz w:val="18"/>
                </w:rPr>
                <w:t xml:space="preserve"> </w:t>
              </w:r>
              <w:r>
                <w:rPr>
                  <w:rFonts w:ascii="BentonSans Book" w:hAnsi="BentonSans Book"/>
                  <w:b/>
                  <w:sz w:val="18"/>
                </w:rPr>
                <w:t xml:space="preserve"> 2019</w:t>
              </w:r>
            </w:p>
          </w:tc>
        </w:tr>
      </w:tbl>
      <w:p w14:paraId="4C9E87D8" w14:textId="77777777" w:rsidR="00C11618" w:rsidRDefault="00FC20A9">
        <w:pPr>
          <w:pStyle w:val="Footer"/>
          <w:jc w:val="right"/>
        </w:pPr>
      </w:p>
    </w:sdtContent>
  </w:sdt>
  <w:p w14:paraId="78CE38E4" w14:textId="77777777" w:rsidR="00C11618" w:rsidRDefault="00C11618" w:rsidP="000E1A3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EFE60D" w14:textId="77777777" w:rsidR="00FC20A9" w:rsidRDefault="00FC20A9" w:rsidP="002D5ADD">
      <w:pPr>
        <w:spacing w:after="0" w:line="240" w:lineRule="auto"/>
      </w:pPr>
      <w:r>
        <w:separator/>
      </w:r>
    </w:p>
  </w:footnote>
  <w:footnote w:type="continuationSeparator" w:id="0">
    <w:p w14:paraId="40F1E627" w14:textId="77777777" w:rsidR="00FC20A9" w:rsidRDefault="00FC20A9" w:rsidP="002D5ADD">
      <w:pPr>
        <w:spacing w:after="0" w:line="240" w:lineRule="auto"/>
      </w:pPr>
      <w:r>
        <w:continuationSeparator/>
      </w:r>
    </w:p>
  </w:footnote>
  <w:footnote w:id="1">
    <w:p w14:paraId="3036455A" w14:textId="77777777" w:rsidR="00E75BAA" w:rsidRPr="00876F52" w:rsidRDefault="00E75BAA" w:rsidP="00D97DA9">
      <w:pPr>
        <w:jc w:val="both"/>
        <w:rPr>
          <w:rFonts w:ascii="BentonSans Book" w:eastAsia="Times New Roman" w:hAnsi="BentonSans Book" w:cs="Times New Roman"/>
          <w:sz w:val="20"/>
        </w:rPr>
      </w:pPr>
      <w:r>
        <w:rPr>
          <w:rStyle w:val="FootnoteReference"/>
        </w:rPr>
        <w:footnoteRef/>
      </w:r>
      <w:r>
        <w:t xml:space="preserve"> </w:t>
      </w:r>
      <w:r w:rsidRPr="00876F52">
        <w:rPr>
          <w:rFonts w:ascii="BentonSans Book" w:eastAsia="Times New Roman" w:hAnsi="BentonSans Book" w:cs="Times New Roman"/>
          <w:sz w:val="20"/>
        </w:rPr>
        <w:t xml:space="preserve">Demand for credit refers to the demand for new loans by borrowers as indicated by the volume and value of applications received. </w:t>
      </w:r>
    </w:p>
  </w:footnote>
  <w:footnote w:id="2">
    <w:p w14:paraId="29891268" w14:textId="77777777" w:rsidR="00564B48" w:rsidRPr="00156F88" w:rsidRDefault="00564B48" w:rsidP="00564B48">
      <w:pPr>
        <w:pStyle w:val="FootnoteText"/>
        <w:rPr>
          <w:rFonts w:ascii="BentonSans Book" w:eastAsia="Times New Roman" w:hAnsi="BentonSans Book" w:cs="Times New Roman"/>
          <w:szCs w:val="22"/>
        </w:rPr>
      </w:pPr>
      <w:r>
        <w:rPr>
          <w:rStyle w:val="FootnoteReference"/>
        </w:rPr>
        <w:footnoteRef/>
      </w:r>
      <w:r>
        <w:t xml:space="preserve"> </w:t>
      </w:r>
      <w:r w:rsidRPr="00156F88">
        <w:rPr>
          <w:rFonts w:ascii="BentonSans Book" w:eastAsia="Times New Roman" w:hAnsi="BentonSans Book" w:cs="Times New Roman"/>
          <w:szCs w:val="22"/>
        </w:rPr>
        <w:t>This includes health, education and professional activities.</w:t>
      </w:r>
    </w:p>
  </w:footnote>
  <w:footnote w:id="3">
    <w:p w14:paraId="20AEA4A3" w14:textId="77777777" w:rsidR="0007204F" w:rsidRPr="00E41DCA" w:rsidRDefault="0007204F" w:rsidP="0007204F">
      <w:pPr>
        <w:pStyle w:val="FootnoteText"/>
        <w:jc w:val="both"/>
        <w:rPr>
          <w:rFonts w:ascii="BentonSans Book" w:eastAsia="Times New Roman" w:hAnsi="BentonSans Book" w:cs="Times New Roman"/>
          <w:szCs w:val="22"/>
        </w:rPr>
      </w:pPr>
      <w:r>
        <w:rPr>
          <w:rStyle w:val="FootnoteReference"/>
        </w:rPr>
        <w:footnoteRef/>
      </w:r>
      <w:r>
        <w:t xml:space="preserve"> </w:t>
      </w:r>
      <w:r w:rsidRPr="00E41DCA">
        <w:rPr>
          <w:rFonts w:ascii="BentonSans Book" w:eastAsia="Times New Roman" w:hAnsi="BentonSans Book" w:cs="Times New Roman"/>
          <w:sz w:val="22"/>
          <w:szCs w:val="22"/>
        </w:rPr>
        <w:t xml:space="preserve"> </w:t>
      </w:r>
      <w:r w:rsidRPr="00E41DCA">
        <w:rPr>
          <w:rFonts w:ascii="BentonSans Book" w:eastAsia="Times New Roman" w:hAnsi="BentonSans Book" w:cs="Times New Roman"/>
          <w:szCs w:val="22"/>
        </w:rPr>
        <w:t>The loan rejection rate is the ratio of the value or number of rejected loan applications by all banks to the number of loan applications received by the banks during the same period.</w:t>
      </w:r>
    </w:p>
    <w:p w14:paraId="66EEC3C0" w14:textId="77777777" w:rsidR="0007204F" w:rsidRPr="00E41DCA" w:rsidRDefault="0007204F" w:rsidP="0007204F">
      <w:pPr>
        <w:pStyle w:val="FootnoteText"/>
      </w:pPr>
    </w:p>
    <w:p w14:paraId="70D881FA" w14:textId="77777777" w:rsidR="0007204F" w:rsidRDefault="0007204F" w:rsidP="0007204F">
      <w:pPr>
        <w:pStyle w:val="FootnoteText"/>
      </w:pPr>
    </w:p>
  </w:footnote>
  <w:footnote w:id="4">
    <w:p w14:paraId="6341AF59" w14:textId="49D1C088" w:rsidR="00B76730" w:rsidRDefault="00B76730">
      <w:pPr>
        <w:pStyle w:val="FootnoteText"/>
      </w:pPr>
      <w:r>
        <w:rPr>
          <w:rStyle w:val="FootnoteReference"/>
        </w:rPr>
        <w:footnoteRef/>
      </w:r>
      <w:r>
        <w:t xml:space="preserve"> </w:t>
      </w:r>
      <w:proofErr w:type="gramStart"/>
      <w:r>
        <w:rPr>
          <w:rFonts w:ascii="BentonSans Book" w:eastAsia="Times New Roman" w:hAnsi="BentonSans Book" w:cs="Times New Roman"/>
          <w:sz w:val="24"/>
          <w:szCs w:val="24"/>
        </w:rPr>
        <w:t>c</w:t>
      </w:r>
      <w:r w:rsidRPr="00024076">
        <w:rPr>
          <w:rFonts w:ascii="BentonSans Book" w:hAnsi="BentonSans Book"/>
        </w:rPr>
        <w:t>redit</w:t>
      </w:r>
      <w:proofErr w:type="gramEnd"/>
      <w:r w:rsidRPr="00024076">
        <w:rPr>
          <w:rFonts w:ascii="BentonSans Book" w:hAnsi="BentonSans Book"/>
        </w:rPr>
        <w:t xml:space="preserve"> terms and conditions</w:t>
      </w:r>
      <w:r>
        <w:rPr>
          <w:rFonts w:ascii="BentonSans Book" w:hAnsi="BentonSans Book"/>
        </w:rPr>
        <w:t xml:space="preserve"> are</w:t>
      </w:r>
      <w:r w:rsidRPr="00024076">
        <w:rPr>
          <w:rFonts w:ascii="BentonSans Book" w:hAnsi="BentonSans Book"/>
        </w:rPr>
        <w:t xml:space="preserve"> terms</w:t>
      </w:r>
      <w:r>
        <w:rPr>
          <w:rFonts w:ascii="BentonSans Book" w:hAnsi="BentonSans Book"/>
        </w:rPr>
        <w:t xml:space="preserve"> and conditions</w:t>
      </w:r>
      <w:r w:rsidRPr="00024076">
        <w:rPr>
          <w:rFonts w:ascii="BentonSans Book" w:hAnsi="BentonSans Book"/>
        </w:rPr>
        <w:t xml:space="preserve"> on which a bank provides credit to a customer after it has been approved. They mainly include the interest rate, maturity</w:t>
      </w:r>
      <w:r>
        <w:rPr>
          <w:rFonts w:ascii="BentonSans Book" w:hAnsi="BentonSans Book"/>
        </w:rPr>
        <w:t xml:space="preserve"> and</w:t>
      </w:r>
      <w:r w:rsidRPr="00024076">
        <w:rPr>
          <w:rFonts w:ascii="BentonSans Book" w:hAnsi="BentonSans Book"/>
        </w:rPr>
        <w:t xml:space="preserve"> frequency of payment.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05CA9"/>
    <w:multiLevelType w:val="hybridMultilevel"/>
    <w:tmpl w:val="BEA410AA"/>
    <w:lvl w:ilvl="0" w:tplc="CFAA251A">
      <w:start w:val="1"/>
      <w:numFmt w:val="decimal"/>
      <w:pStyle w:val="FSAparagraph"/>
      <w:lvlText w:val="%1.     "/>
      <w:lvlJc w:val="left"/>
      <w:pPr>
        <w:tabs>
          <w:tab w:val="num" w:pos="720"/>
        </w:tabs>
        <w:ind w:left="0" w:firstLine="0"/>
      </w:pPr>
      <w:rPr>
        <w:rFonts w:hint="default"/>
        <w:b w:val="0"/>
        <w:color w:val="auto"/>
        <w:sz w:val="24"/>
        <w:szCs w:val="24"/>
      </w:rPr>
    </w:lvl>
    <w:lvl w:ilvl="1" w:tplc="04090019">
      <w:start w:val="1"/>
      <w:numFmt w:val="lowerLetter"/>
      <w:lvlText w:val="%2."/>
      <w:lvlJc w:val="left"/>
      <w:pPr>
        <w:tabs>
          <w:tab w:val="num" w:pos="4500"/>
        </w:tabs>
        <w:ind w:left="450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56869DF"/>
    <w:multiLevelType w:val="hybridMultilevel"/>
    <w:tmpl w:val="1A48BFA6"/>
    <w:lvl w:ilvl="0" w:tplc="DEA02CA0">
      <w:start w:val="1"/>
      <w:numFmt w:val="upperRoman"/>
      <w:pStyle w:val="FSA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A86F20"/>
    <w:multiLevelType w:val="hybridMultilevel"/>
    <w:tmpl w:val="D8CEEBE0"/>
    <w:lvl w:ilvl="0" w:tplc="9B241F64">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72770"/>
    <w:multiLevelType w:val="hybridMultilevel"/>
    <w:tmpl w:val="360CFABC"/>
    <w:lvl w:ilvl="0" w:tplc="6366D6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BAE7A2E"/>
    <w:multiLevelType w:val="hybridMultilevel"/>
    <w:tmpl w:val="6DB0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2F1390"/>
    <w:multiLevelType w:val="hybridMultilevel"/>
    <w:tmpl w:val="45CC1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15F38"/>
    <w:multiLevelType w:val="multilevel"/>
    <w:tmpl w:val="8058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CB0FB0"/>
    <w:multiLevelType w:val="multilevel"/>
    <w:tmpl w:val="32ECEBB6"/>
    <w:lvl w:ilvl="0">
      <w:start w:val="1"/>
      <w:numFmt w:val="upperRoman"/>
      <w:lvlText w:val="%1."/>
      <w:lvlJc w:val="left"/>
      <w:pPr>
        <w:ind w:left="1080" w:hanging="720"/>
      </w:pPr>
      <w:rPr>
        <w:rFonts w:hint="default"/>
        <w:color w:val="4472C4" w:themeColor="accen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0A54671"/>
    <w:multiLevelType w:val="hybridMultilevel"/>
    <w:tmpl w:val="2C38EDBE"/>
    <w:lvl w:ilvl="0" w:tplc="35AC80DA">
      <w:start w:val="1"/>
      <w:numFmt w:val="bullet"/>
      <w:lvlText w:val="•"/>
      <w:lvlJc w:val="left"/>
      <w:pPr>
        <w:tabs>
          <w:tab w:val="num" w:pos="720"/>
        </w:tabs>
        <w:ind w:left="720" w:hanging="360"/>
      </w:pPr>
      <w:rPr>
        <w:rFonts w:ascii="Arial" w:hAnsi="Arial" w:hint="default"/>
      </w:rPr>
    </w:lvl>
    <w:lvl w:ilvl="1" w:tplc="A01E1882" w:tentative="1">
      <w:start w:val="1"/>
      <w:numFmt w:val="bullet"/>
      <w:lvlText w:val="•"/>
      <w:lvlJc w:val="left"/>
      <w:pPr>
        <w:tabs>
          <w:tab w:val="num" w:pos="1440"/>
        </w:tabs>
        <w:ind w:left="1440" w:hanging="360"/>
      </w:pPr>
      <w:rPr>
        <w:rFonts w:ascii="Arial" w:hAnsi="Arial" w:hint="default"/>
      </w:rPr>
    </w:lvl>
    <w:lvl w:ilvl="2" w:tplc="8EFCC498" w:tentative="1">
      <w:start w:val="1"/>
      <w:numFmt w:val="bullet"/>
      <w:lvlText w:val="•"/>
      <w:lvlJc w:val="left"/>
      <w:pPr>
        <w:tabs>
          <w:tab w:val="num" w:pos="2160"/>
        </w:tabs>
        <w:ind w:left="2160" w:hanging="360"/>
      </w:pPr>
      <w:rPr>
        <w:rFonts w:ascii="Arial" w:hAnsi="Arial" w:hint="default"/>
      </w:rPr>
    </w:lvl>
    <w:lvl w:ilvl="3" w:tplc="7DFCA166" w:tentative="1">
      <w:start w:val="1"/>
      <w:numFmt w:val="bullet"/>
      <w:lvlText w:val="•"/>
      <w:lvlJc w:val="left"/>
      <w:pPr>
        <w:tabs>
          <w:tab w:val="num" w:pos="2880"/>
        </w:tabs>
        <w:ind w:left="2880" w:hanging="360"/>
      </w:pPr>
      <w:rPr>
        <w:rFonts w:ascii="Arial" w:hAnsi="Arial" w:hint="default"/>
      </w:rPr>
    </w:lvl>
    <w:lvl w:ilvl="4" w:tplc="2CCE6354" w:tentative="1">
      <w:start w:val="1"/>
      <w:numFmt w:val="bullet"/>
      <w:lvlText w:val="•"/>
      <w:lvlJc w:val="left"/>
      <w:pPr>
        <w:tabs>
          <w:tab w:val="num" w:pos="3600"/>
        </w:tabs>
        <w:ind w:left="3600" w:hanging="360"/>
      </w:pPr>
      <w:rPr>
        <w:rFonts w:ascii="Arial" w:hAnsi="Arial" w:hint="default"/>
      </w:rPr>
    </w:lvl>
    <w:lvl w:ilvl="5" w:tplc="2C120498" w:tentative="1">
      <w:start w:val="1"/>
      <w:numFmt w:val="bullet"/>
      <w:lvlText w:val="•"/>
      <w:lvlJc w:val="left"/>
      <w:pPr>
        <w:tabs>
          <w:tab w:val="num" w:pos="4320"/>
        </w:tabs>
        <w:ind w:left="4320" w:hanging="360"/>
      </w:pPr>
      <w:rPr>
        <w:rFonts w:ascii="Arial" w:hAnsi="Arial" w:hint="default"/>
      </w:rPr>
    </w:lvl>
    <w:lvl w:ilvl="6" w:tplc="94BC5F92" w:tentative="1">
      <w:start w:val="1"/>
      <w:numFmt w:val="bullet"/>
      <w:lvlText w:val="•"/>
      <w:lvlJc w:val="left"/>
      <w:pPr>
        <w:tabs>
          <w:tab w:val="num" w:pos="5040"/>
        </w:tabs>
        <w:ind w:left="5040" w:hanging="360"/>
      </w:pPr>
      <w:rPr>
        <w:rFonts w:ascii="Arial" w:hAnsi="Arial" w:hint="default"/>
      </w:rPr>
    </w:lvl>
    <w:lvl w:ilvl="7" w:tplc="FB2C7E70" w:tentative="1">
      <w:start w:val="1"/>
      <w:numFmt w:val="bullet"/>
      <w:lvlText w:val="•"/>
      <w:lvlJc w:val="left"/>
      <w:pPr>
        <w:tabs>
          <w:tab w:val="num" w:pos="5760"/>
        </w:tabs>
        <w:ind w:left="5760" w:hanging="360"/>
      </w:pPr>
      <w:rPr>
        <w:rFonts w:ascii="Arial" w:hAnsi="Arial" w:hint="default"/>
      </w:rPr>
    </w:lvl>
    <w:lvl w:ilvl="8" w:tplc="188033A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0B27B88"/>
    <w:multiLevelType w:val="hybridMultilevel"/>
    <w:tmpl w:val="365CE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542D1A"/>
    <w:multiLevelType w:val="multilevel"/>
    <w:tmpl w:val="F5DC99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F14F38"/>
    <w:multiLevelType w:val="hybridMultilevel"/>
    <w:tmpl w:val="95C2AECC"/>
    <w:lvl w:ilvl="0" w:tplc="55D2E1BC">
      <w:start w:val="1"/>
      <w:numFmt w:val="decimal"/>
      <w:lvlText w:val="%1."/>
      <w:lvlJc w:val="left"/>
      <w:pPr>
        <w:tabs>
          <w:tab w:val="num" w:pos="720"/>
        </w:tabs>
        <w:ind w:left="720" w:hanging="360"/>
      </w:pPr>
    </w:lvl>
    <w:lvl w:ilvl="1" w:tplc="AB52E9A6" w:tentative="1">
      <w:start w:val="1"/>
      <w:numFmt w:val="decimal"/>
      <w:lvlText w:val="%2."/>
      <w:lvlJc w:val="left"/>
      <w:pPr>
        <w:tabs>
          <w:tab w:val="num" w:pos="1440"/>
        </w:tabs>
        <w:ind w:left="1440" w:hanging="360"/>
      </w:pPr>
    </w:lvl>
    <w:lvl w:ilvl="2" w:tplc="2CFC4306" w:tentative="1">
      <w:start w:val="1"/>
      <w:numFmt w:val="decimal"/>
      <w:lvlText w:val="%3."/>
      <w:lvlJc w:val="left"/>
      <w:pPr>
        <w:tabs>
          <w:tab w:val="num" w:pos="2160"/>
        </w:tabs>
        <w:ind w:left="2160" w:hanging="360"/>
      </w:pPr>
    </w:lvl>
    <w:lvl w:ilvl="3" w:tplc="BE4CF948" w:tentative="1">
      <w:start w:val="1"/>
      <w:numFmt w:val="decimal"/>
      <w:lvlText w:val="%4."/>
      <w:lvlJc w:val="left"/>
      <w:pPr>
        <w:tabs>
          <w:tab w:val="num" w:pos="2880"/>
        </w:tabs>
        <w:ind w:left="2880" w:hanging="360"/>
      </w:pPr>
    </w:lvl>
    <w:lvl w:ilvl="4" w:tplc="F8E294F4" w:tentative="1">
      <w:start w:val="1"/>
      <w:numFmt w:val="decimal"/>
      <w:lvlText w:val="%5."/>
      <w:lvlJc w:val="left"/>
      <w:pPr>
        <w:tabs>
          <w:tab w:val="num" w:pos="3600"/>
        </w:tabs>
        <w:ind w:left="3600" w:hanging="360"/>
      </w:pPr>
    </w:lvl>
    <w:lvl w:ilvl="5" w:tplc="0298F286" w:tentative="1">
      <w:start w:val="1"/>
      <w:numFmt w:val="decimal"/>
      <w:lvlText w:val="%6."/>
      <w:lvlJc w:val="left"/>
      <w:pPr>
        <w:tabs>
          <w:tab w:val="num" w:pos="4320"/>
        </w:tabs>
        <w:ind w:left="4320" w:hanging="360"/>
      </w:pPr>
    </w:lvl>
    <w:lvl w:ilvl="6" w:tplc="97808688" w:tentative="1">
      <w:start w:val="1"/>
      <w:numFmt w:val="decimal"/>
      <w:lvlText w:val="%7."/>
      <w:lvlJc w:val="left"/>
      <w:pPr>
        <w:tabs>
          <w:tab w:val="num" w:pos="5040"/>
        </w:tabs>
        <w:ind w:left="5040" w:hanging="360"/>
      </w:pPr>
    </w:lvl>
    <w:lvl w:ilvl="7" w:tplc="76481448" w:tentative="1">
      <w:start w:val="1"/>
      <w:numFmt w:val="decimal"/>
      <w:lvlText w:val="%8."/>
      <w:lvlJc w:val="left"/>
      <w:pPr>
        <w:tabs>
          <w:tab w:val="num" w:pos="5760"/>
        </w:tabs>
        <w:ind w:left="5760" w:hanging="360"/>
      </w:pPr>
    </w:lvl>
    <w:lvl w:ilvl="8" w:tplc="4E86BD7E" w:tentative="1">
      <w:start w:val="1"/>
      <w:numFmt w:val="decimal"/>
      <w:lvlText w:val="%9."/>
      <w:lvlJc w:val="left"/>
      <w:pPr>
        <w:tabs>
          <w:tab w:val="num" w:pos="6480"/>
        </w:tabs>
        <w:ind w:left="6480" w:hanging="360"/>
      </w:pPr>
    </w:lvl>
  </w:abstractNum>
  <w:abstractNum w:abstractNumId="12" w15:restartNumberingAfterBreak="0">
    <w:nsid w:val="6286729B"/>
    <w:multiLevelType w:val="hybridMultilevel"/>
    <w:tmpl w:val="DB2821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DC65A3"/>
    <w:multiLevelType w:val="hybridMultilevel"/>
    <w:tmpl w:val="6B1EFA46"/>
    <w:lvl w:ilvl="0" w:tplc="6F0C7A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F01EE5"/>
    <w:multiLevelType w:val="hybridMultilevel"/>
    <w:tmpl w:val="53F2E1A6"/>
    <w:lvl w:ilvl="0" w:tplc="A5CCF2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2"/>
  </w:num>
  <w:num w:numId="4">
    <w:abstractNumId w:val="7"/>
  </w:num>
  <w:num w:numId="5">
    <w:abstractNumId w:val="4"/>
  </w:num>
  <w:num w:numId="6">
    <w:abstractNumId w:val="12"/>
  </w:num>
  <w:num w:numId="7">
    <w:abstractNumId w:val="5"/>
  </w:num>
  <w:num w:numId="8">
    <w:abstractNumId w:val="3"/>
  </w:num>
  <w:num w:numId="9">
    <w:abstractNumId w:val="1"/>
  </w:num>
  <w:num w:numId="10">
    <w:abstractNumId w:val="10"/>
  </w:num>
  <w:num w:numId="11">
    <w:abstractNumId w:val="9"/>
  </w:num>
  <w:num w:numId="12">
    <w:abstractNumId w:val="0"/>
  </w:num>
  <w:num w:numId="13">
    <w:abstractNumId w:val="13"/>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ADD"/>
    <w:rsid w:val="00001384"/>
    <w:rsid w:val="000020E9"/>
    <w:rsid w:val="00002747"/>
    <w:rsid w:val="00004E82"/>
    <w:rsid w:val="00005690"/>
    <w:rsid w:val="000070CF"/>
    <w:rsid w:val="00010BBB"/>
    <w:rsid w:val="00011682"/>
    <w:rsid w:val="0001183B"/>
    <w:rsid w:val="00012BFA"/>
    <w:rsid w:val="00012CE2"/>
    <w:rsid w:val="00014AAB"/>
    <w:rsid w:val="00015346"/>
    <w:rsid w:val="000155FD"/>
    <w:rsid w:val="000161AE"/>
    <w:rsid w:val="0001685E"/>
    <w:rsid w:val="00021DB1"/>
    <w:rsid w:val="00024076"/>
    <w:rsid w:val="00026576"/>
    <w:rsid w:val="00026F42"/>
    <w:rsid w:val="00030156"/>
    <w:rsid w:val="00031DC1"/>
    <w:rsid w:val="000331CD"/>
    <w:rsid w:val="00035891"/>
    <w:rsid w:val="00036FA9"/>
    <w:rsid w:val="00041342"/>
    <w:rsid w:val="00043DA6"/>
    <w:rsid w:val="000442A7"/>
    <w:rsid w:val="00044B7F"/>
    <w:rsid w:val="00051965"/>
    <w:rsid w:val="00052464"/>
    <w:rsid w:val="00052C42"/>
    <w:rsid w:val="00053800"/>
    <w:rsid w:val="00056158"/>
    <w:rsid w:val="0006021C"/>
    <w:rsid w:val="00060BE2"/>
    <w:rsid w:val="00064D1B"/>
    <w:rsid w:val="000650A2"/>
    <w:rsid w:val="000665D5"/>
    <w:rsid w:val="00066865"/>
    <w:rsid w:val="00070A3E"/>
    <w:rsid w:val="00070EB5"/>
    <w:rsid w:val="0007204F"/>
    <w:rsid w:val="0007212C"/>
    <w:rsid w:val="000737FB"/>
    <w:rsid w:val="00074A19"/>
    <w:rsid w:val="000752B8"/>
    <w:rsid w:val="000808EA"/>
    <w:rsid w:val="00082451"/>
    <w:rsid w:val="00083590"/>
    <w:rsid w:val="00085DC0"/>
    <w:rsid w:val="00086A13"/>
    <w:rsid w:val="00087EA4"/>
    <w:rsid w:val="000955A0"/>
    <w:rsid w:val="00097675"/>
    <w:rsid w:val="00097D6E"/>
    <w:rsid w:val="000A0D1F"/>
    <w:rsid w:val="000A22DC"/>
    <w:rsid w:val="000A41E9"/>
    <w:rsid w:val="000A4253"/>
    <w:rsid w:val="000B0AC1"/>
    <w:rsid w:val="000B2B7B"/>
    <w:rsid w:val="000B3195"/>
    <w:rsid w:val="000B33B1"/>
    <w:rsid w:val="000B40CB"/>
    <w:rsid w:val="000C017D"/>
    <w:rsid w:val="000C038A"/>
    <w:rsid w:val="000C4424"/>
    <w:rsid w:val="000C51A6"/>
    <w:rsid w:val="000C6553"/>
    <w:rsid w:val="000C7754"/>
    <w:rsid w:val="000D2A89"/>
    <w:rsid w:val="000D34AD"/>
    <w:rsid w:val="000D3C93"/>
    <w:rsid w:val="000D56CA"/>
    <w:rsid w:val="000D7992"/>
    <w:rsid w:val="000E1657"/>
    <w:rsid w:val="000E1A39"/>
    <w:rsid w:val="000E263D"/>
    <w:rsid w:val="000E29FD"/>
    <w:rsid w:val="000E5297"/>
    <w:rsid w:val="000E5A08"/>
    <w:rsid w:val="000E5BAD"/>
    <w:rsid w:val="000E6E62"/>
    <w:rsid w:val="000F03AD"/>
    <w:rsid w:val="000F2D8C"/>
    <w:rsid w:val="000F49F0"/>
    <w:rsid w:val="000F4DC3"/>
    <w:rsid w:val="000F4F5C"/>
    <w:rsid w:val="000F5472"/>
    <w:rsid w:val="000F5B2F"/>
    <w:rsid w:val="000F6636"/>
    <w:rsid w:val="000F68A7"/>
    <w:rsid w:val="000F7BA4"/>
    <w:rsid w:val="00100101"/>
    <w:rsid w:val="00101361"/>
    <w:rsid w:val="00101A71"/>
    <w:rsid w:val="001023F8"/>
    <w:rsid w:val="0010289E"/>
    <w:rsid w:val="0010520C"/>
    <w:rsid w:val="001058F8"/>
    <w:rsid w:val="00105E6C"/>
    <w:rsid w:val="00106F91"/>
    <w:rsid w:val="00107327"/>
    <w:rsid w:val="00107AF8"/>
    <w:rsid w:val="001101A2"/>
    <w:rsid w:val="00111325"/>
    <w:rsid w:val="00112400"/>
    <w:rsid w:val="00114DC3"/>
    <w:rsid w:val="00115B52"/>
    <w:rsid w:val="00123AC7"/>
    <w:rsid w:val="00125DFB"/>
    <w:rsid w:val="001269BB"/>
    <w:rsid w:val="00126A14"/>
    <w:rsid w:val="001272D2"/>
    <w:rsid w:val="00131D91"/>
    <w:rsid w:val="00131F12"/>
    <w:rsid w:val="001329B3"/>
    <w:rsid w:val="00134547"/>
    <w:rsid w:val="0014039C"/>
    <w:rsid w:val="00141D05"/>
    <w:rsid w:val="00145DCA"/>
    <w:rsid w:val="0015054C"/>
    <w:rsid w:val="00154901"/>
    <w:rsid w:val="00156F88"/>
    <w:rsid w:val="00164C37"/>
    <w:rsid w:val="00165153"/>
    <w:rsid w:val="0017075E"/>
    <w:rsid w:val="001717B6"/>
    <w:rsid w:val="001727D6"/>
    <w:rsid w:val="0017378F"/>
    <w:rsid w:val="00175F21"/>
    <w:rsid w:val="00176AB7"/>
    <w:rsid w:val="00176F82"/>
    <w:rsid w:val="00177FCA"/>
    <w:rsid w:val="001806B4"/>
    <w:rsid w:val="00181160"/>
    <w:rsid w:val="00182442"/>
    <w:rsid w:val="00185259"/>
    <w:rsid w:val="00185353"/>
    <w:rsid w:val="00187195"/>
    <w:rsid w:val="0019147A"/>
    <w:rsid w:val="0019196E"/>
    <w:rsid w:val="00192827"/>
    <w:rsid w:val="00193390"/>
    <w:rsid w:val="001941D4"/>
    <w:rsid w:val="00196E4A"/>
    <w:rsid w:val="001A04E0"/>
    <w:rsid w:val="001A2A0F"/>
    <w:rsid w:val="001A3096"/>
    <w:rsid w:val="001A42B2"/>
    <w:rsid w:val="001A5287"/>
    <w:rsid w:val="001A5FA7"/>
    <w:rsid w:val="001A76D6"/>
    <w:rsid w:val="001B0BC7"/>
    <w:rsid w:val="001B1E59"/>
    <w:rsid w:val="001B21E5"/>
    <w:rsid w:val="001B4322"/>
    <w:rsid w:val="001B5123"/>
    <w:rsid w:val="001B63F3"/>
    <w:rsid w:val="001B7A1A"/>
    <w:rsid w:val="001C043E"/>
    <w:rsid w:val="001C0633"/>
    <w:rsid w:val="001C0F90"/>
    <w:rsid w:val="001C3084"/>
    <w:rsid w:val="001C381E"/>
    <w:rsid w:val="001C4946"/>
    <w:rsid w:val="001C5193"/>
    <w:rsid w:val="001C54A4"/>
    <w:rsid w:val="001C7CF9"/>
    <w:rsid w:val="001D00E3"/>
    <w:rsid w:val="001D0D23"/>
    <w:rsid w:val="001D193A"/>
    <w:rsid w:val="001D1D23"/>
    <w:rsid w:val="001D3E98"/>
    <w:rsid w:val="001D582A"/>
    <w:rsid w:val="001D6ED2"/>
    <w:rsid w:val="001D79BC"/>
    <w:rsid w:val="001E0E8C"/>
    <w:rsid w:val="001E39FA"/>
    <w:rsid w:val="001E4E8A"/>
    <w:rsid w:val="001E5BEC"/>
    <w:rsid w:val="001E600A"/>
    <w:rsid w:val="001E7F67"/>
    <w:rsid w:val="001F0DB3"/>
    <w:rsid w:val="001F143C"/>
    <w:rsid w:val="001F1D7E"/>
    <w:rsid w:val="001F7734"/>
    <w:rsid w:val="00200924"/>
    <w:rsid w:val="002010A0"/>
    <w:rsid w:val="00201725"/>
    <w:rsid w:val="00202092"/>
    <w:rsid w:val="002040A6"/>
    <w:rsid w:val="00204704"/>
    <w:rsid w:val="00210B39"/>
    <w:rsid w:val="002118D1"/>
    <w:rsid w:val="00211BF9"/>
    <w:rsid w:val="00214582"/>
    <w:rsid w:val="00214677"/>
    <w:rsid w:val="0021677F"/>
    <w:rsid w:val="00220674"/>
    <w:rsid w:val="002231EC"/>
    <w:rsid w:val="00223617"/>
    <w:rsid w:val="0022445D"/>
    <w:rsid w:val="00226709"/>
    <w:rsid w:val="00226ABF"/>
    <w:rsid w:val="00227D61"/>
    <w:rsid w:val="00230635"/>
    <w:rsid w:val="00230B49"/>
    <w:rsid w:val="0023142B"/>
    <w:rsid w:val="00236528"/>
    <w:rsid w:val="002405B7"/>
    <w:rsid w:val="002406B3"/>
    <w:rsid w:val="0024323A"/>
    <w:rsid w:val="00244BB1"/>
    <w:rsid w:val="00245698"/>
    <w:rsid w:val="0024608F"/>
    <w:rsid w:val="00246226"/>
    <w:rsid w:val="00247FB3"/>
    <w:rsid w:val="00250A86"/>
    <w:rsid w:val="0025154B"/>
    <w:rsid w:val="002517CB"/>
    <w:rsid w:val="00253744"/>
    <w:rsid w:val="00253E36"/>
    <w:rsid w:val="002541B5"/>
    <w:rsid w:val="00254CED"/>
    <w:rsid w:val="00256393"/>
    <w:rsid w:val="00260733"/>
    <w:rsid w:val="00263091"/>
    <w:rsid w:val="002646CF"/>
    <w:rsid w:val="00265AA7"/>
    <w:rsid w:val="0026692F"/>
    <w:rsid w:val="00266A16"/>
    <w:rsid w:val="00267289"/>
    <w:rsid w:val="002676EC"/>
    <w:rsid w:val="00271216"/>
    <w:rsid w:val="00271374"/>
    <w:rsid w:val="00271DE9"/>
    <w:rsid w:val="0027496C"/>
    <w:rsid w:val="00276798"/>
    <w:rsid w:val="002801B6"/>
    <w:rsid w:val="0028296B"/>
    <w:rsid w:val="00283B43"/>
    <w:rsid w:val="002849A5"/>
    <w:rsid w:val="00284C49"/>
    <w:rsid w:val="0028656B"/>
    <w:rsid w:val="00291CD0"/>
    <w:rsid w:val="00291E5C"/>
    <w:rsid w:val="0029245B"/>
    <w:rsid w:val="002954D6"/>
    <w:rsid w:val="00296869"/>
    <w:rsid w:val="002A006E"/>
    <w:rsid w:val="002A2ADB"/>
    <w:rsid w:val="002A2B14"/>
    <w:rsid w:val="002A2EE5"/>
    <w:rsid w:val="002A4D67"/>
    <w:rsid w:val="002A547A"/>
    <w:rsid w:val="002A6038"/>
    <w:rsid w:val="002A74EC"/>
    <w:rsid w:val="002A75FC"/>
    <w:rsid w:val="002A7796"/>
    <w:rsid w:val="002B212E"/>
    <w:rsid w:val="002B4B96"/>
    <w:rsid w:val="002B4EFD"/>
    <w:rsid w:val="002B53CA"/>
    <w:rsid w:val="002B61D2"/>
    <w:rsid w:val="002C0EE9"/>
    <w:rsid w:val="002C31F0"/>
    <w:rsid w:val="002C3ECE"/>
    <w:rsid w:val="002C3FEF"/>
    <w:rsid w:val="002C44F1"/>
    <w:rsid w:val="002C5A0A"/>
    <w:rsid w:val="002C751E"/>
    <w:rsid w:val="002C7966"/>
    <w:rsid w:val="002C7CCD"/>
    <w:rsid w:val="002D1550"/>
    <w:rsid w:val="002D1E10"/>
    <w:rsid w:val="002D287F"/>
    <w:rsid w:val="002D34E5"/>
    <w:rsid w:val="002D37BA"/>
    <w:rsid w:val="002D5ADD"/>
    <w:rsid w:val="002D7442"/>
    <w:rsid w:val="002D79A9"/>
    <w:rsid w:val="002E09D1"/>
    <w:rsid w:val="002E29E1"/>
    <w:rsid w:val="002E6038"/>
    <w:rsid w:val="002F1681"/>
    <w:rsid w:val="002F281D"/>
    <w:rsid w:val="002F2973"/>
    <w:rsid w:val="002F39DB"/>
    <w:rsid w:val="002F42EE"/>
    <w:rsid w:val="002F46A5"/>
    <w:rsid w:val="002F4A60"/>
    <w:rsid w:val="002F5000"/>
    <w:rsid w:val="002F7F9B"/>
    <w:rsid w:val="003008BA"/>
    <w:rsid w:val="0030146E"/>
    <w:rsid w:val="00305F3A"/>
    <w:rsid w:val="00306313"/>
    <w:rsid w:val="003157D2"/>
    <w:rsid w:val="003161B4"/>
    <w:rsid w:val="00316840"/>
    <w:rsid w:val="00317235"/>
    <w:rsid w:val="003201C1"/>
    <w:rsid w:val="0032081D"/>
    <w:rsid w:val="00320C2D"/>
    <w:rsid w:val="00323210"/>
    <w:rsid w:val="003233B1"/>
    <w:rsid w:val="00325D53"/>
    <w:rsid w:val="00325DB6"/>
    <w:rsid w:val="00327AFA"/>
    <w:rsid w:val="003368BC"/>
    <w:rsid w:val="00337073"/>
    <w:rsid w:val="003374C1"/>
    <w:rsid w:val="00340C25"/>
    <w:rsid w:val="00341202"/>
    <w:rsid w:val="003417BC"/>
    <w:rsid w:val="00344330"/>
    <w:rsid w:val="00344341"/>
    <w:rsid w:val="0035238D"/>
    <w:rsid w:val="003525B2"/>
    <w:rsid w:val="00353BF3"/>
    <w:rsid w:val="00355C8F"/>
    <w:rsid w:val="00356140"/>
    <w:rsid w:val="003564BA"/>
    <w:rsid w:val="00356865"/>
    <w:rsid w:val="00357EB0"/>
    <w:rsid w:val="0036094C"/>
    <w:rsid w:val="003612F3"/>
    <w:rsid w:val="0036145C"/>
    <w:rsid w:val="00361E52"/>
    <w:rsid w:val="00366D65"/>
    <w:rsid w:val="00373B8F"/>
    <w:rsid w:val="00376045"/>
    <w:rsid w:val="003770EC"/>
    <w:rsid w:val="00377562"/>
    <w:rsid w:val="00377A94"/>
    <w:rsid w:val="00377C74"/>
    <w:rsid w:val="00380F12"/>
    <w:rsid w:val="003842F0"/>
    <w:rsid w:val="00384385"/>
    <w:rsid w:val="003844E9"/>
    <w:rsid w:val="00384949"/>
    <w:rsid w:val="00386CD0"/>
    <w:rsid w:val="00387B36"/>
    <w:rsid w:val="0039101E"/>
    <w:rsid w:val="00393213"/>
    <w:rsid w:val="00394228"/>
    <w:rsid w:val="003942AB"/>
    <w:rsid w:val="00395CA7"/>
    <w:rsid w:val="00396866"/>
    <w:rsid w:val="003973D7"/>
    <w:rsid w:val="003A0892"/>
    <w:rsid w:val="003A1455"/>
    <w:rsid w:val="003A1D3A"/>
    <w:rsid w:val="003A71D2"/>
    <w:rsid w:val="003A74DF"/>
    <w:rsid w:val="003A7DB7"/>
    <w:rsid w:val="003A7F45"/>
    <w:rsid w:val="003B0096"/>
    <w:rsid w:val="003B0364"/>
    <w:rsid w:val="003B08C7"/>
    <w:rsid w:val="003B0B4F"/>
    <w:rsid w:val="003B3C99"/>
    <w:rsid w:val="003B5337"/>
    <w:rsid w:val="003C031E"/>
    <w:rsid w:val="003C07A1"/>
    <w:rsid w:val="003C0965"/>
    <w:rsid w:val="003C34B3"/>
    <w:rsid w:val="003C34D8"/>
    <w:rsid w:val="003C5155"/>
    <w:rsid w:val="003C59F8"/>
    <w:rsid w:val="003C603B"/>
    <w:rsid w:val="003C6065"/>
    <w:rsid w:val="003C6FAF"/>
    <w:rsid w:val="003D0C75"/>
    <w:rsid w:val="003D1008"/>
    <w:rsid w:val="003D13F4"/>
    <w:rsid w:val="003D25D0"/>
    <w:rsid w:val="003D2E01"/>
    <w:rsid w:val="003D3792"/>
    <w:rsid w:val="003D5624"/>
    <w:rsid w:val="003D6197"/>
    <w:rsid w:val="003D729E"/>
    <w:rsid w:val="003E11FF"/>
    <w:rsid w:val="003E2A6C"/>
    <w:rsid w:val="003E6374"/>
    <w:rsid w:val="003F056C"/>
    <w:rsid w:val="003F1FBF"/>
    <w:rsid w:val="003F2B56"/>
    <w:rsid w:val="003F33BF"/>
    <w:rsid w:val="003F3864"/>
    <w:rsid w:val="003F50FB"/>
    <w:rsid w:val="003F5130"/>
    <w:rsid w:val="00400F15"/>
    <w:rsid w:val="004012A1"/>
    <w:rsid w:val="004016C4"/>
    <w:rsid w:val="004020E9"/>
    <w:rsid w:val="0040442D"/>
    <w:rsid w:val="004044A7"/>
    <w:rsid w:val="00404995"/>
    <w:rsid w:val="00404E6D"/>
    <w:rsid w:val="004059D7"/>
    <w:rsid w:val="00406287"/>
    <w:rsid w:val="0040763B"/>
    <w:rsid w:val="00407D41"/>
    <w:rsid w:val="00410375"/>
    <w:rsid w:val="004146CA"/>
    <w:rsid w:val="004148FC"/>
    <w:rsid w:val="004203B7"/>
    <w:rsid w:val="00421952"/>
    <w:rsid w:val="0042243E"/>
    <w:rsid w:val="0042411A"/>
    <w:rsid w:val="00424AB8"/>
    <w:rsid w:val="00430F5E"/>
    <w:rsid w:val="004314F0"/>
    <w:rsid w:val="0043323D"/>
    <w:rsid w:val="00434C8E"/>
    <w:rsid w:val="00437EA8"/>
    <w:rsid w:val="004401AC"/>
    <w:rsid w:val="00440F0E"/>
    <w:rsid w:val="00442045"/>
    <w:rsid w:val="00442EFF"/>
    <w:rsid w:val="00443069"/>
    <w:rsid w:val="00444578"/>
    <w:rsid w:val="00444A7A"/>
    <w:rsid w:val="004453DE"/>
    <w:rsid w:val="00445F7F"/>
    <w:rsid w:val="00450E69"/>
    <w:rsid w:val="0045106A"/>
    <w:rsid w:val="00454A90"/>
    <w:rsid w:val="004553A8"/>
    <w:rsid w:val="00456780"/>
    <w:rsid w:val="0045763A"/>
    <w:rsid w:val="00462C46"/>
    <w:rsid w:val="004632D0"/>
    <w:rsid w:val="00464890"/>
    <w:rsid w:val="00467ECC"/>
    <w:rsid w:val="0047154F"/>
    <w:rsid w:val="00472CA1"/>
    <w:rsid w:val="00474471"/>
    <w:rsid w:val="00474BE7"/>
    <w:rsid w:val="00474F7C"/>
    <w:rsid w:val="00475112"/>
    <w:rsid w:val="00482B93"/>
    <w:rsid w:val="0048354E"/>
    <w:rsid w:val="0048611A"/>
    <w:rsid w:val="004929A2"/>
    <w:rsid w:val="00492A98"/>
    <w:rsid w:val="0049415A"/>
    <w:rsid w:val="0049743F"/>
    <w:rsid w:val="00497988"/>
    <w:rsid w:val="004A07F9"/>
    <w:rsid w:val="004A3305"/>
    <w:rsid w:val="004A3B3A"/>
    <w:rsid w:val="004A58A8"/>
    <w:rsid w:val="004A5B26"/>
    <w:rsid w:val="004A7AB3"/>
    <w:rsid w:val="004B2CF1"/>
    <w:rsid w:val="004B3D1A"/>
    <w:rsid w:val="004B4661"/>
    <w:rsid w:val="004B5844"/>
    <w:rsid w:val="004B5D8E"/>
    <w:rsid w:val="004B64CA"/>
    <w:rsid w:val="004B69DA"/>
    <w:rsid w:val="004B7828"/>
    <w:rsid w:val="004C06E1"/>
    <w:rsid w:val="004C2882"/>
    <w:rsid w:val="004C2A32"/>
    <w:rsid w:val="004C32E4"/>
    <w:rsid w:val="004C335B"/>
    <w:rsid w:val="004C33F4"/>
    <w:rsid w:val="004C3512"/>
    <w:rsid w:val="004C36FE"/>
    <w:rsid w:val="004C3B3A"/>
    <w:rsid w:val="004C4FB2"/>
    <w:rsid w:val="004C53E0"/>
    <w:rsid w:val="004C79A9"/>
    <w:rsid w:val="004D09FE"/>
    <w:rsid w:val="004D0B11"/>
    <w:rsid w:val="004D11B1"/>
    <w:rsid w:val="004D1EBE"/>
    <w:rsid w:val="004D258E"/>
    <w:rsid w:val="004D4738"/>
    <w:rsid w:val="004D6C01"/>
    <w:rsid w:val="004D6FB4"/>
    <w:rsid w:val="004E15F4"/>
    <w:rsid w:val="004F1800"/>
    <w:rsid w:val="004F1C42"/>
    <w:rsid w:val="004F288E"/>
    <w:rsid w:val="004F397F"/>
    <w:rsid w:val="004F3F57"/>
    <w:rsid w:val="004F57D0"/>
    <w:rsid w:val="004F586D"/>
    <w:rsid w:val="0050024B"/>
    <w:rsid w:val="00501272"/>
    <w:rsid w:val="00506C5B"/>
    <w:rsid w:val="005101E2"/>
    <w:rsid w:val="0051046B"/>
    <w:rsid w:val="005113BE"/>
    <w:rsid w:val="0051313F"/>
    <w:rsid w:val="005137DE"/>
    <w:rsid w:val="0051394B"/>
    <w:rsid w:val="00515454"/>
    <w:rsid w:val="00515E0E"/>
    <w:rsid w:val="00520E18"/>
    <w:rsid w:val="005235A8"/>
    <w:rsid w:val="0052469D"/>
    <w:rsid w:val="005250B6"/>
    <w:rsid w:val="005265CC"/>
    <w:rsid w:val="005276C3"/>
    <w:rsid w:val="00532CA6"/>
    <w:rsid w:val="0053659C"/>
    <w:rsid w:val="00536B5F"/>
    <w:rsid w:val="00536EE0"/>
    <w:rsid w:val="00536FB0"/>
    <w:rsid w:val="00537F86"/>
    <w:rsid w:val="00545D7C"/>
    <w:rsid w:val="00553376"/>
    <w:rsid w:val="005537C3"/>
    <w:rsid w:val="00553B5B"/>
    <w:rsid w:val="0055771A"/>
    <w:rsid w:val="005577B2"/>
    <w:rsid w:val="00560A8F"/>
    <w:rsid w:val="0056230F"/>
    <w:rsid w:val="00562D9B"/>
    <w:rsid w:val="00562E9F"/>
    <w:rsid w:val="00563C78"/>
    <w:rsid w:val="005640AF"/>
    <w:rsid w:val="00564B48"/>
    <w:rsid w:val="0056617F"/>
    <w:rsid w:val="00566E92"/>
    <w:rsid w:val="005727FB"/>
    <w:rsid w:val="005734CA"/>
    <w:rsid w:val="005762DF"/>
    <w:rsid w:val="00576AED"/>
    <w:rsid w:val="0057732C"/>
    <w:rsid w:val="00577506"/>
    <w:rsid w:val="00582EE2"/>
    <w:rsid w:val="00583F7F"/>
    <w:rsid w:val="00584EEE"/>
    <w:rsid w:val="0059013B"/>
    <w:rsid w:val="00590549"/>
    <w:rsid w:val="00590A0B"/>
    <w:rsid w:val="00594139"/>
    <w:rsid w:val="00594350"/>
    <w:rsid w:val="005944FB"/>
    <w:rsid w:val="00594C7C"/>
    <w:rsid w:val="00595945"/>
    <w:rsid w:val="00595BB7"/>
    <w:rsid w:val="00596939"/>
    <w:rsid w:val="005971E0"/>
    <w:rsid w:val="005A06F4"/>
    <w:rsid w:val="005A369F"/>
    <w:rsid w:val="005A48C3"/>
    <w:rsid w:val="005A5466"/>
    <w:rsid w:val="005A562B"/>
    <w:rsid w:val="005A6CA1"/>
    <w:rsid w:val="005B1B03"/>
    <w:rsid w:val="005B4AA7"/>
    <w:rsid w:val="005B5F7D"/>
    <w:rsid w:val="005B6BB5"/>
    <w:rsid w:val="005B709E"/>
    <w:rsid w:val="005C1B24"/>
    <w:rsid w:val="005C23E4"/>
    <w:rsid w:val="005C294A"/>
    <w:rsid w:val="005C416F"/>
    <w:rsid w:val="005C4375"/>
    <w:rsid w:val="005C45AA"/>
    <w:rsid w:val="005C5A31"/>
    <w:rsid w:val="005C68E9"/>
    <w:rsid w:val="005C7053"/>
    <w:rsid w:val="005D0DEA"/>
    <w:rsid w:val="005D2961"/>
    <w:rsid w:val="005D2C04"/>
    <w:rsid w:val="005D2DB5"/>
    <w:rsid w:val="005D334B"/>
    <w:rsid w:val="005D366B"/>
    <w:rsid w:val="005D4E3F"/>
    <w:rsid w:val="005D6B34"/>
    <w:rsid w:val="005D7229"/>
    <w:rsid w:val="005D79FC"/>
    <w:rsid w:val="005D7D07"/>
    <w:rsid w:val="005E02BE"/>
    <w:rsid w:val="005E06FE"/>
    <w:rsid w:val="005E340D"/>
    <w:rsid w:val="005E3696"/>
    <w:rsid w:val="005E3906"/>
    <w:rsid w:val="005E39B6"/>
    <w:rsid w:val="005E4B02"/>
    <w:rsid w:val="005F03B8"/>
    <w:rsid w:val="005F0F3F"/>
    <w:rsid w:val="005F16F3"/>
    <w:rsid w:val="005F34C4"/>
    <w:rsid w:val="005F3703"/>
    <w:rsid w:val="005F3AC3"/>
    <w:rsid w:val="005F498A"/>
    <w:rsid w:val="005F635B"/>
    <w:rsid w:val="005F78FC"/>
    <w:rsid w:val="005F7F99"/>
    <w:rsid w:val="006013AE"/>
    <w:rsid w:val="00604444"/>
    <w:rsid w:val="00604C74"/>
    <w:rsid w:val="006059A4"/>
    <w:rsid w:val="006101F6"/>
    <w:rsid w:val="006120B2"/>
    <w:rsid w:val="00612EDB"/>
    <w:rsid w:val="00613836"/>
    <w:rsid w:val="0061428F"/>
    <w:rsid w:val="0061528D"/>
    <w:rsid w:val="00620A61"/>
    <w:rsid w:val="00620AE3"/>
    <w:rsid w:val="00620C97"/>
    <w:rsid w:val="00621050"/>
    <w:rsid w:val="0062112E"/>
    <w:rsid w:val="00621AC4"/>
    <w:rsid w:val="00621BA5"/>
    <w:rsid w:val="00621C8F"/>
    <w:rsid w:val="00622F08"/>
    <w:rsid w:val="006248EF"/>
    <w:rsid w:val="006253E9"/>
    <w:rsid w:val="00626848"/>
    <w:rsid w:val="00626EFE"/>
    <w:rsid w:val="00627AD0"/>
    <w:rsid w:val="00636F19"/>
    <w:rsid w:val="006411F1"/>
    <w:rsid w:val="00641899"/>
    <w:rsid w:val="00642B6F"/>
    <w:rsid w:val="0064465C"/>
    <w:rsid w:val="006449E9"/>
    <w:rsid w:val="00644C32"/>
    <w:rsid w:val="0064746F"/>
    <w:rsid w:val="0065230F"/>
    <w:rsid w:val="00652A24"/>
    <w:rsid w:val="00656710"/>
    <w:rsid w:val="006617B2"/>
    <w:rsid w:val="00662FBF"/>
    <w:rsid w:val="00663145"/>
    <w:rsid w:val="006650C4"/>
    <w:rsid w:val="0066656C"/>
    <w:rsid w:val="00670DCE"/>
    <w:rsid w:val="006711E0"/>
    <w:rsid w:val="00671AC8"/>
    <w:rsid w:val="00671BF0"/>
    <w:rsid w:val="0067241D"/>
    <w:rsid w:val="00673A5C"/>
    <w:rsid w:val="00675464"/>
    <w:rsid w:val="006767E3"/>
    <w:rsid w:val="00677947"/>
    <w:rsid w:val="0068161C"/>
    <w:rsid w:val="006816A2"/>
    <w:rsid w:val="00681D73"/>
    <w:rsid w:val="00687581"/>
    <w:rsid w:val="00695708"/>
    <w:rsid w:val="00696B4B"/>
    <w:rsid w:val="00697A76"/>
    <w:rsid w:val="00697B43"/>
    <w:rsid w:val="00697C49"/>
    <w:rsid w:val="006A004A"/>
    <w:rsid w:val="006A1D4E"/>
    <w:rsid w:val="006A4770"/>
    <w:rsid w:val="006A4BD2"/>
    <w:rsid w:val="006A561D"/>
    <w:rsid w:val="006A745B"/>
    <w:rsid w:val="006A7D36"/>
    <w:rsid w:val="006B0701"/>
    <w:rsid w:val="006B1539"/>
    <w:rsid w:val="006B2B4C"/>
    <w:rsid w:val="006B3B7D"/>
    <w:rsid w:val="006B3D42"/>
    <w:rsid w:val="006B405C"/>
    <w:rsid w:val="006B7A3A"/>
    <w:rsid w:val="006C0CE7"/>
    <w:rsid w:val="006C196B"/>
    <w:rsid w:val="006C3DCC"/>
    <w:rsid w:val="006D1BB6"/>
    <w:rsid w:val="006D2ADB"/>
    <w:rsid w:val="006D589B"/>
    <w:rsid w:val="006D7FBE"/>
    <w:rsid w:val="006E0C9B"/>
    <w:rsid w:val="006E1B75"/>
    <w:rsid w:val="006E357E"/>
    <w:rsid w:val="006E57F5"/>
    <w:rsid w:val="006E5EE3"/>
    <w:rsid w:val="006E717B"/>
    <w:rsid w:val="006E7530"/>
    <w:rsid w:val="006F2690"/>
    <w:rsid w:val="006F6DCC"/>
    <w:rsid w:val="006F77C5"/>
    <w:rsid w:val="00701140"/>
    <w:rsid w:val="00701ACF"/>
    <w:rsid w:val="00702818"/>
    <w:rsid w:val="00702FCC"/>
    <w:rsid w:val="00703FAD"/>
    <w:rsid w:val="00705A1F"/>
    <w:rsid w:val="00707B82"/>
    <w:rsid w:val="007108FB"/>
    <w:rsid w:val="00711DAC"/>
    <w:rsid w:val="0071303D"/>
    <w:rsid w:val="007137C4"/>
    <w:rsid w:val="00713B0C"/>
    <w:rsid w:val="007151C5"/>
    <w:rsid w:val="00715944"/>
    <w:rsid w:val="007171BB"/>
    <w:rsid w:val="00717501"/>
    <w:rsid w:val="00717879"/>
    <w:rsid w:val="00720190"/>
    <w:rsid w:val="00726256"/>
    <w:rsid w:val="0072756D"/>
    <w:rsid w:val="00727C42"/>
    <w:rsid w:val="0073018C"/>
    <w:rsid w:val="00730440"/>
    <w:rsid w:val="007307C8"/>
    <w:rsid w:val="00730C5A"/>
    <w:rsid w:val="00731B79"/>
    <w:rsid w:val="007352AF"/>
    <w:rsid w:val="007358FD"/>
    <w:rsid w:val="007457E9"/>
    <w:rsid w:val="007471FC"/>
    <w:rsid w:val="007478B5"/>
    <w:rsid w:val="00747FB9"/>
    <w:rsid w:val="00751F19"/>
    <w:rsid w:val="00754061"/>
    <w:rsid w:val="00754B57"/>
    <w:rsid w:val="0075527E"/>
    <w:rsid w:val="00756984"/>
    <w:rsid w:val="00757265"/>
    <w:rsid w:val="007603E6"/>
    <w:rsid w:val="00760BDE"/>
    <w:rsid w:val="00762F68"/>
    <w:rsid w:val="00763A4A"/>
    <w:rsid w:val="007646ED"/>
    <w:rsid w:val="00764D25"/>
    <w:rsid w:val="00764FF4"/>
    <w:rsid w:val="0076704D"/>
    <w:rsid w:val="007671B6"/>
    <w:rsid w:val="00774C39"/>
    <w:rsid w:val="007760C3"/>
    <w:rsid w:val="007824C7"/>
    <w:rsid w:val="0078608C"/>
    <w:rsid w:val="007867DE"/>
    <w:rsid w:val="00793650"/>
    <w:rsid w:val="00794999"/>
    <w:rsid w:val="00797195"/>
    <w:rsid w:val="007A0040"/>
    <w:rsid w:val="007A0CCB"/>
    <w:rsid w:val="007A69C8"/>
    <w:rsid w:val="007A6F20"/>
    <w:rsid w:val="007A72C1"/>
    <w:rsid w:val="007B0365"/>
    <w:rsid w:val="007B3B73"/>
    <w:rsid w:val="007B4994"/>
    <w:rsid w:val="007B61AE"/>
    <w:rsid w:val="007B67B0"/>
    <w:rsid w:val="007B6912"/>
    <w:rsid w:val="007C0BCA"/>
    <w:rsid w:val="007C3737"/>
    <w:rsid w:val="007C55CA"/>
    <w:rsid w:val="007C56C1"/>
    <w:rsid w:val="007C5B5D"/>
    <w:rsid w:val="007C5FD5"/>
    <w:rsid w:val="007C655C"/>
    <w:rsid w:val="007D02B2"/>
    <w:rsid w:val="007D1A57"/>
    <w:rsid w:val="007D1D15"/>
    <w:rsid w:val="007D2188"/>
    <w:rsid w:val="007D3127"/>
    <w:rsid w:val="007D35BA"/>
    <w:rsid w:val="007D4DAE"/>
    <w:rsid w:val="007D77D4"/>
    <w:rsid w:val="007E01F1"/>
    <w:rsid w:val="007E0619"/>
    <w:rsid w:val="007E0C77"/>
    <w:rsid w:val="007E6DDA"/>
    <w:rsid w:val="007E7117"/>
    <w:rsid w:val="007E749E"/>
    <w:rsid w:val="007E7AF8"/>
    <w:rsid w:val="007E7C0A"/>
    <w:rsid w:val="007E7DB2"/>
    <w:rsid w:val="007F132D"/>
    <w:rsid w:val="007F4BB3"/>
    <w:rsid w:val="007F515D"/>
    <w:rsid w:val="007F5FC7"/>
    <w:rsid w:val="007F759F"/>
    <w:rsid w:val="0080337D"/>
    <w:rsid w:val="008034D1"/>
    <w:rsid w:val="00805A6C"/>
    <w:rsid w:val="008071B2"/>
    <w:rsid w:val="008076C9"/>
    <w:rsid w:val="008131EA"/>
    <w:rsid w:val="0081385D"/>
    <w:rsid w:val="00813DA1"/>
    <w:rsid w:val="00814974"/>
    <w:rsid w:val="00815B58"/>
    <w:rsid w:val="00817556"/>
    <w:rsid w:val="008210E8"/>
    <w:rsid w:val="008217F8"/>
    <w:rsid w:val="008322AA"/>
    <w:rsid w:val="0083258F"/>
    <w:rsid w:val="008331D5"/>
    <w:rsid w:val="00840DDE"/>
    <w:rsid w:val="00845D20"/>
    <w:rsid w:val="00850BDF"/>
    <w:rsid w:val="00850CCB"/>
    <w:rsid w:val="00850FA3"/>
    <w:rsid w:val="00852151"/>
    <w:rsid w:val="00854E95"/>
    <w:rsid w:val="008555CB"/>
    <w:rsid w:val="008577AB"/>
    <w:rsid w:val="00857E53"/>
    <w:rsid w:val="008607FD"/>
    <w:rsid w:val="00860A15"/>
    <w:rsid w:val="0086259B"/>
    <w:rsid w:val="008635ED"/>
    <w:rsid w:val="008649F4"/>
    <w:rsid w:val="00867B8A"/>
    <w:rsid w:val="00867F16"/>
    <w:rsid w:val="00870D5F"/>
    <w:rsid w:val="00870E7F"/>
    <w:rsid w:val="008713BC"/>
    <w:rsid w:val="00871C43"/>
    <w:rsid w:val="0087257E"/>
    <w:rsid w:val="00872D01"/>
    <w:rsid w:val="008733ED"/>
    <w:rsid w:val="0087568A"/>
    <w:rsid w:val="0087573B"/>
    <w:rsid w:val="00875D67"/>
    <w:rsid w:val="00875E59"/>
    <w:rsid w:val="00876A7B"/>
    <w:rsid w:val="00876F52"/>
    <w:rsid w:val="008801F3"/>
    <w:rsid w:val="00881BF5"/>
    <w:rsid w:val="008824AE"/>
    <w:rsid w:val="00883AFA"/>
    <w:rsid w:val="00884A0B"/>
    <w:rsid w:val="008859CC"/>
    <w:rsid w:val="008859D5"/>
    <w:rsid w:val="008859F9"/>
    <w:rsid w:val="00885CC7"/>
    <w:rsid w:val="008861C0"/>
    <w:rsid w:val="0088665D"/>
    <w:rsid w:val="00886890"/>
    <w:rsid w:val="00886FF7"/>
    <w:rsid w:val="0089055A"/>
    <w:rsid w:val="00891E5E"/>
    <w:rsid w:val="00893805"/>
    <w:rsid w:val="00895D6F"/>
    <w:rsid w:val="00895D96"/>
    <w:rsid w:val="008969D8"/>
    <w:rsid w:val="00897240"/>
    <w:rsid w:val="00897C9F"/>
    <w:rsid w:val="00897DCB"/>
    <w:rsid w:val="008A03D2"/>
    <w:rsid w:val="008A03D5"/>
    <w:rsid w:val="008A03EF"/>
    <w:rsid w:val="008A0B6B"/>
    <w:rsid w:val="008A24C3"/>
    <w:rsid w:val="008A30B1"/>
    <w:rsid w:val="008A30F7"/>
    <w:rsid w:val="008A5481"/>
    <w:rsid w:val="008A7CFC"/>
    <w:rsid w:val="008B1BA9"/>
    <w:rsid w:val="008B3706"/>
    <w:rsid w:val="008B5695"/>
    <w:rsid w:val="008B597D"/>
    <w:rsid w:val="008B6B6D"/>
    <w:rsid w:val="008B6EAE"/>
    <w:rsid w:val="008C4824"/>
    <w:rsid w:val="008C6384"/>
    <w:rsid w:val="008C6BBF"/>
    <w:rsid w:val="008D05FB"/>
    <w:rsid w:val="008D087D"/>
    <w:rsid w:val="008D205A"/>
    <w:rsid w:val="008D576F"/>
    <w:rsid w:val="008D79EC"/>
    <w:rsid w:val="008D7A32"/>
    <w:rsid w:val="008E134C"/>
    <w:rsid w:val="008E1ED4"/>
    <w:rsid w:val="008E2114"/>
    <w:rsid w:val="008E3904"/>
    <w:rsid w:val="008E3F05"/>
    <w:rsid w:val="008E5D74"/>
    <w:rsid w:val="008E618B"/>
    <w:rsid w:val="008E6CCF"/>
    <w:rsid w:val="008F02C4"/>
    <w:rsid w:val="008F23AE"/>
    <w:rsid w:val="008F303A"/>
    <w:rsid w:val="008F3EE8"/>
    <w:rsid w:val="008F3FB6"/>
    <w:rsid w:val="008F4287"/>
    <w:rsid w:val="008F569F"/>
    <w:rsid w:val="008F5AC3"/>
    <w:rsid w:val="008F7B57"/>
    <w:rsid w:val="009007A7"/>
    <w:rsid w:val="00900BC5"/>
    <w:rsid w:val="009019C8"/>
    <w:rsid w:val="00902E50"/>
    <w:rsid w:val="00906A03"/>
    <w:rsid w:val="00906B09"/>
    <w:rsid w:val="00910760"/>
    <w:rsid w:val="0091100C"/>
    <w:rsid w:val="00911AE9"/>
    <w:rsid w:val="009142CA"/>
    <w:rsid w:val="00914E91"/>
    <w:rsid w:val="00915396"/>
    <w:rsid w:val="009200AE"/>
    <w:rsid w:val="009205CC"/>
    <w:rsid w:val="00921FF0"/>
    <w:rsid w:val="00923123"/>
    <w:rsid w:val="009231E1"/>
    <w:rsid w:val="009233C0"/>
    <w:rsid w:val="0092573D"/>
    <w:rsid w:val="00927490"/>
    <w:rsid w:val="00927549"/>
    <w:rsid w:val="0093088A"/>
    <w:rsid w:val="00930F72"/>
    <w:rsid w:val="0093130E"/>
    <w:rsid w:val="00931CDF"/>
    <w:rsid w:val="0093220C"/>
    <w:rsid w:val="00933D88"/>
    <w:rsid w:val="00935263"/>
    <w:rsid w:val="00935C28"/>
    <w:rsid w:val="00935F08"/>
    <w:rsid w:val="00937AC9"/>
    <w:rsid w:val="00940F29"/>
    <w:rsid w:val="00941009"/>
    <w:rsid w:val="00942EB8"/>
    <w:rsid w:val="009431B3"/>
    <w:rsid w:val="00947C78"/>
    <w:rsid w:val="00950D5E"/>
    <w:rsid w:val="00951468"/>
    <w:rsid w:val="00954567"/>
    <w:rsid w:val="009559EA"/>
    <w:rsid w:val="00956D94"/>
    <w:rsid w:val="00957B0D"/>
    <w:rsid w:val="00960D3E"/>
    <w:rsid w:val="00960DB3"/>
    <w:rsid w:val="00961CAE"/>
    <w:rsid w:val="00964D32"/>
    <w:rsid w:val="00966892"/>
    <w:rsid w:val="00966DB4"/>
    <w:rsid w:val="00966DBE"/>
    <w:rsid w:val="00967C28"/>
    <w:rsid w:val="00970386"/>
    <w:rsid w:val="00970451"/>
    <w:rsid w:val="00970852"/>
    <w:rsid w:val="00971CBE"/>
    <w:rsid w:val="00972F56"/>
    <w:rsid w:val="00973848"/>
    <w:rsid w:val="00975D32"/>
    <w:rsid w:val="00976CA7"/>
    <w:rsid w:val="009778C7"/>
    <w:rsid w:val="00980F64"/>
    <w:rsid w:val="00981893"/>
    <w:rsid w:val="00981C42"/>
    <w:rsid w:val="0098550C"/>
    <w:rsid w:val="00987A15"/>
    <w:rsid w:val="009918C6"/>
    <w:rsid w:val="00991EA9"/>
    <w:rsid w:val="00992B84"/>
    <w:rsid w:val="00994406"/>
    <w:rsid w:val="009944A8"/>
    <w:rsid w:val="009A0FA4"/>
    <w:rsid w:val="009A227D"/>
    <w:rsid w:val="009A309D"/>
    <w:rsid w:val="009A620A"/>
    <w:rsid w:val="009A71DA"/>
    <w:rsid w:val="009B11F3"/>
    <w:rsid w:val="009B2808"/>
    <w:rsid w:val="009B3642"/>
    <w:rsid w:val="009B4D4A"/>
    <w:rsid w:val="009B4FD7"/>
    <w:rsid w:val="009B6183"/>
    <w:rsid w:val="009C06E2"/>
    <w:rsid w:val="009C1AB1"/>
    <w:rsid w:val="009C1E7E"/>
    <w:rsid w:val="009C2782"/>
    <w:rsid w:val="009C362B"/>
    <w:rsid w:val="009C45DA"/>
    <w:rsid w:val="009C4AB1"/>
    <w:rsid w:val="009D0AF1"/>
    <w:rsid w:val="009D0C31"/>
    <w:rsid w:val="009D1113"/>
    <w:rsid w:val="009D258D"/>
    <w:rsid w:val="009D2C7C"/>
    <w:rsid w:val="009D2D12"/>
    <w:rsid w:val="009D2E6E"/>
    <w:rsid w:val="009D7304"/>
    <w:rsid w:val="009D7A9B"/>
    <w:rsid w:val="009E36BF"/>
    <w:rsid w:val="009E46D8"/>
    <w:rsid w:val="009E4787"/>
    <w:rsid w:val="009E4AF4"/>
    <w:rsid w:val="009E5763"/>
    <w:rsid w:val="009E73FA"/>
    <w:rsid w:val="009F0EB5"/>
    <w:rsid w:val="009F183A"/>
    <w:rsid w:val="009F1918"/>
    <w:rsid w:val="009F273E"/>
    <w:rsid w:val="009F30E5"/>
    <w:rsid w:val="009F3F8E"/>
    <w:rsid w:val="00A00AE6"/>
    <w:rsid w:val="00A01408"/>
    <w:rsid w:val="00A01B48"/>
    <w:rsid w:val="00A03F48"/>
    <w:rsid w:val="00A04808"/>
    <w:rsid w:val="00A05304"/>
    <w:rsid w:val="00A06B1C"/>
    <w:rsid w:val="00A11700"/>
    <w:rsid w:val="00A141ED"/>
    <w:rsid w:val="00A14888"/>
    <w:rsid w:val="00A15501"/>
    <w:rsid w:val="00A1613E"/>
    <w:rsid w:val="00A17253"/>
    <w:rsid w:val="00A1728B"/>
    <w:rsid w:val="00A20516"/>
    <w:rsid w:val="00A21301"/>
    <w:rsid w:val="00A2649D"/>
    <w:rsid w:val="00A27E6B"/>
    <w:rsid w:val="00A27F01"/>
    <w:rsid w:val="00A33CCB"/>
    <w:rsid w:val="00A341D1"/>
    <w:rsid w:val="00A34AD6"/>
    <w:rsid w:val="00A400C9"/>
    <w:rsid w:val="00A41AC2"/>
    <w:rsid w:val="00A42C08"/>
    <w:rsid w:val="00A42CE1"/>
    <w:rsid w:val="00A450BE"/>
    <w:rsid w:val="00A47CA4"/>
    <w:rsid w:val="00A52304"/>
    <w:rsid w:val="00A52484"/>
    <w:rsid w:val="00A60635"/>
    <w:rsid w:val="00A6274B"/>
    <w:rsid w:val="00A701A6"/>
    <w:rsid w:val="00A70732"/>
    <w:rsid w:val="00A722E3"/>
    <w:rsid w:val="00A72A4E"/>
    <w:rsid w:val="00A73374"/>
    <w:rsid w:val="00A7347E"/>
    <w:rsid w:val="00A7365A"/>
    <w:rsid w:val="00A7366A"/>
    <w:rsid w:val="00A773FC"/>
    <w:rsid w:val="00A809F5"/>
    <w:rsid w:val="00A81390"/>
    <w:rsid w:val="00A82092"/>
    <w:rsid w:val="00A82295"/>
    <w:rsid w:val="00A82678"/>
    <w:rsid w:val="00A82D4A"/>
    <w:rsid w:val="00A835E2"/>
    <w:rsid w:val="00A83FB1"/>
    <w:rsid w:val="00A8625C"/>
    <w:rsid w:val="00A86A53"/>
    <w:rsid w:val="00A86F81"/>
    <w:rsid w:val="00A876F4"/>
    <w:rsid w:val="00A91381"/>
    <w:rsid w:val="00A9267E"/>
    <w:rsid w:val="00A947B1"/>
    <w:rsid w:val="00A96BF6"/>
    <w:rsid w:val="00A97F6D"/>
    <w:rsid w:val="00AA0244"/>
    <w:rsid w:val="00AA323B"/>
    <w:rsid w:val="00AA41F7"/>
    <w:rsid w:val="00AB3849"/>
    <w:rsid w:val="00AB3AFE"/>
    <w:rsid w:val="00AB49C4"/>
    <w:rsid w:val="00AB5722"/>
    <w:rsid w:val="00AB69E4"/>
    <w:rsid w:val="00AC0CE3"/>
    <w:rsid w:val="00AC15FB"/>
    <w:rsid w:val="00AC2799"/>
    <w:rsid w:val="00AC69B0"/>
    <w:rsid w:val="00AD0CD5"/>
    <w:rsid w:val="00AD59E5"/>
    <w:rsid w:val="00AD70E4"/>
    <w:rsid w:val="00AE1662"/>
    <w:rsid w:val="00AE181D"/>
    <w:rsid w:val="00AE29CD"/>
    <w:rsid w:val="00AE2A8D"/>
    <w:rsid w:val="00AE33CD"/>
    <w:rsid w:val="00AE422E"/>
    <w:rsid w:val="00AE4DDD"/>
    <w:rsid w:val="00AE7615"/>
    <w:rsid w:val="00AE7FE2"/>
    <w:rsid w:val="00AF0B8C"/>
    <w:rsid w:val="00AF17A0"/>
    <w:rsid w:val="00AF4930"/>
    <w:rsid w:val="00AF6467"/>
    <w:rsid w:val="00B00555"/>
    <w:rsid w:val="00B0098B"/>
    <w:rsid w:val="00B009F0"/>
    <w:rsid w:val="00B0188F"/>
    <w:rsid w:val="00B02530"/>
    <w:rsid w:val="00B04082"/>
    <w:rsid w:val="00B05C77"/>
    <w:rsid w:val="00B07B7D"/>
    <w:rsid w:val="00B113B2"/>
    <w:rsid w:val="00B11BEB"/>
    <w:rsid w:val="00B12A0B"/>
    <w:rsid w:val="00B12C3B"/>
    <w:rsid w:val="00B13C3A"/>
    <w:rsid w:val="00B15F05"/>
    <w:rsid w:val="00B15FB0"/>
    <w:rsid w:val="00B1614B"/>
    <w:rsid w:val="00B16F84"/>
    <w:rsid w:val="00B237BC"/>
    <w:rsid w:val="00B2428B"/>
    <w:rsid w:val="00B24F80"/>
    <w:rsid w:val="00B27284"/>
    <w:rsid w:val="00B278AF"/>
    <w:rsid w:val="00B31106"/>
    <w:rsid w:val="00B33975"/>
    <w:rsid w:val="00B34A2E"/>
    <w:rsid w:val="00B34D3C"/>
    <w:rsid w:val="00B34F7B"/>
    <w:rsid w:val="00B35245"/>
    <w:rsid w:val="00B358F6"/>
    <w:rsid w:val="00B36ED9"/>
    <w:rsid w:val="00B36F61"/>
    <w:rsid w:val="00B3731B"/>
    <w:rsid w:val="00B4629A"/>
    <w:rsid w:val="00B463B9"/>
    <w:rsid w:val="00B471B5"/>
    <w:rsid w:val="00B47255"/>
    <w:rsid w:val="00B47880"/>
    <w:rsid w:val="00B5156B"/>
    <w:rsid w:val="00B5178E"/>
    <w:rsid w:val="00B52282"/>
    <w:rsid w:val="00B526D8"/>
    <w:rsid w:val="00B5310F"/>
    <w:rsid w:val="00B5321B"/>
    <w:rsid w:val="00B54B80"/>
    <w:rsid w:val="00B5594D"/>
    <w:rsid w:val="00B56A72"/>
    <w:rsid w:val="00B579CE"/>
    <w:rsid w:val="00B60360"/>
    <w:rsid w:val="00B63368"/>
    <w:rsid w:val="00B6739D"/>
    <w:rsid w:val="00B67B1F"/>
    <w:rsid w:val="00B70432"/>
    <w:rsid w:val="00B709F4"/>
    <w:rsid w:val="00B72079"/>
    <w:rsid w:val="00B744CC"/>
    <w:rsid w:val="00B76730"/>
    <w:rsid w:val="00B77B05"/>
    <w:rsid w:val="00B77B29"/>
    <w:rsid w:val="00B80541"/>
    <w:rsid w:val="00B82D72"/>
    <w:rsid w:val="00B8300B"/>
    <w:rsid w:val="00B83C0B"/>
    <w:rsid w:val="00B84124"/>
    <w:rsid w:val="00B8440A"/>
    <w:rsid w:val="00B85250"/>
    <w:rsid w:val="00B86486"/>
    <w:rsid w:val="00B865F2"/>
    <w:rsid w:val="00B91410"/>
    <w:rsid w:val="00B918E3"/>
    <w:rsid w:val="00B91B9B"/>
    <w:rsid w:val="00B92B72"/>
    <w:rsid w:val="00B930C2"/>
    <w:rsid w:val="00B94E8F"/>
    <w:rsid w:val="00B95AE0"/>
    <w:rsid w:val="00BA2A8F"/>
    <w:rsid w:val="00BA2B01"/>
    <w:rsid w:val="00BA5970"/>
    <w:rsid w:val="00BA683C"/>
    <w:rsid w:val="00BA7212"/>
    <w:rsid w:val="00BB543B"/>
    <w:rsid w:val="00BB66C5"/>
    <w:rsid w:val="00BB6F8F"/>
    <w:rsid w:val="00BB798B"/>
    <w:rsid w:val="00BC0078"/>
    <w:rsid w:val="00BC37C5"/>
    <w:rsid w:val="00BC3EC9"/>
    <w:rsid w:val="00BC4321"/>
    <w:rsid w:val="00BC43CD"/>
    <w:rsid w:val="00BC5A28"/>
    <w:rsid w:val="00BC697F"/>
    <w:rsid w:val="00BD08A6"/>
    <w:rsid w:val="00BD098E"/>
    <w:rsid w:val="00BD46BC"/>
    <w:rsid w:val="00BD56C8"/>
    <w:rsid w:val="00BD5E44"/>
    <w:rsid w:val="00BD69D6"/>
    <w:rsid w:val="00BE1152"/>
    <w:rsid w:val="00BE16D5"/>
    <w:rsid w:val="00BE1BB8"/>
    <w:rsid w:val="00BE4F52"/>
    <w:rsid w:val="00BE66AC"/>
    <w:rsid w:val="00BE6920"/>
    <w:rsid w:val="00BE6BCF"/>
    <w:rsid w:val="00BE6F2D"/>
    <w:rsid w:val="00BF12D1"/>
    <w:rsid w:val="00C02407"/>
    <w:rsid w:val="00C040F3"/>
    <w:rsid w:val="00C04F29"/>
    <w:rsid w:val="00C0606B"/>
    <w:rsid w:val="00C06EC9"/>
    <w:rsid w:val="00C06F8D"/>
    <w:rsid w:val="00C077BF"/>
    <w:rsid w:val="00C07B75"/>
    <w:rsid w:val="00C10A12"/>
    <w:rsid w:val="00C11618"/>
    <w:rsid w:val="00C14D84"/>
    <w:rsid w:val="00C14EDC"/>
    <w:rsid w:val="00C1525B"/>
    <w:rsid w:val="00C157EF"/>
    <w:rsid w:val="00C15A0D"/>
    <w:rsid w:val="00C17633"/>
    <w:rsid w:val="00C22601"/>
    <w:rsid w:val="00C23515"/>
    <w:rsid w:val="00C3324D"/>
    <w:rsid w:val="00C3444D"/>
    <w:rsid w:val="00C3627A"/>
    <w:rsid w:val="00C36CE4"/>
    <w:rsid w:val="00C40B93"/>
    <w:rsid w:val="00C426A9"/>
    <w:rsid w:val="00C42757"/>
    <w:rsid w:val="00C4337B"/>
    <w:rsid w:val="00C43513"/>
    <w:rsid w:val="00C44395"/>
    <w:rsid w:val="00C45430"/>
    <w:rsid w:val="00C455CF"/>
    <w:rsid w:val="00C50F3E"/>
    <w:rsid w:val="00C5136C"/>
    <w:rsid w:val="00C558E6"/>
    <w:rsid w:val="00C561B3"/>
    <w:rsid w:val="00C56922"/>
    <w:rsid w:val="00C57894"/>
    <w:rsid w:val="00C603DF"/>
    <w:rsid w:val="00C60E73"/>
    <w:rsid w:val="00C6122A"/>
    <w:rsid w:val="00C636B7"/>
    <w:rsid w:val="00C6565C"/>
    <w:rsid w:val="00C662E7"/>
    <w:rsid w:val="00C66A9A"/>
    <w:rsid w:val="00C67588"/>
    <w:rsid w:val="00C67661"/>
    <w:rsid w:val="00C6767A"/>
    <w:rsid w:val="00C70526"/>
    <w:rsid w:val="00C70A45"/>
    <w:rsid w:val="00C70E95"/>
    <w:rsid w:val="00C77285"/>
    <w:rsid w:val="00C812E3"/>
    <w:rsid w:val="00C82530"/>
    <w:rsid w:val="00C82D47"/>
    <w:rsid w:val="00C8316A"/>
    <w:rsid w:val="00C8399E"/>
    <w:rsid w:val="00C83B76"/>
    <w:rsid w:val="00C85A47"/>
    <w:rsid w:val="00C8618B"/>
    <w:rsid w:val="00C863D2"/>
    <w:rsid w:val="00C86BC3"/>
    <w:rsid w:val="00C90222"/>
    <w:rsid w:val="00C904CE"/>
    <w:rsid w:val="00C90F45"/>
    <w:rsid w:val="00C9329C"/>
    <w:rsid w:val="00C95ED4"/>
    <w:rsid w:val="00C96EA5"/>
    <w:rsid w:val="00CA32A4"/>
    <w:rsid w:val="00CA3EF4"/>
    <w:rsid w:val="00CA4338"/>
    <w:rsid w:val="00CA4C5D"/>
    <w:rsid w:val="00CA5440"/>
    <w:rsid w:val="00CA5634"/>
    <w:rsid w:val="00CA77ED"/>
    <w:rsid w:val="00CA79B7"/>
    <w:rsid w:val="00CB22A0"/>
    <w:rsid w:val="00CB4779"/>
    <w:rsid w:val="00CB5BE0"/>
    <w:rsid w:val="00CB6290"/>
    <w:rsid w:val="00CC06F0"/>
    <w:rsid w:val="00CC0D1A"/>
    <w:rsid w:val="00CC21BB"/>
    <w:rsid w:val="00CC2D21"/>
    <w:rsid w:val="00CC3408"/>
    <w:rsid w:val="00CC3665"/>
    <w:rsid w:val="00CC45CB"/>
    <w:rsid w:val="00CC4CE1"/>
    <w:rsid w:val="00CC4DAA"/>
    <w:rsid w:val="00CC5055"/>
    <w:rsid w:val="00CC6737"/>
    <w:rsid w:val="00CD01A4"/>
    <w:rsid w:val="00CD0FFF"/>
    <w:rsid w:val="00CD13AD"/>
    <w:rsid w:val="00CD15AA"/>
    <w:rsid w:val="00CD27BC"/>
    <w:rsid w:val="00CD29D1"/>
    <w:rsid w:val="00CD32D2"/>
    <w:rsid w:val="00CD4816"/>
    <w:rsid w:val="00CD51D4"/>
    <w:rsid w:val="00CD56D3"/>
    <w:rsid w:val="00CD64EF"/>
    <w:rsid w:val="00CD7338"/>
    <w:rsid w:val="00CE138D"/>
    <w:rsid w:val="00CE184A"/>
    <w:rsid w:val="00CE3163"/>
    <w:rsid w:val="00CE5E69"/>
    <w:rsid w:val="00CE78C3"/>
    <w:rsid w:val="00CF153A"/>
    <w:rsid w:val="00D0193F"/>
    <w:rsid w:val="00D058D2"/>
    <w:rsid w:val="00D05C84"/>
    <w:rsid w:val="00D06BC3"/>
    <w:rsid w:val="00D073BD"/>
    <w:rsid w:val="00D13943"/>
    <w:rsid w:val="00D167A6"/>
    <w:rsid w:val="00D169DD"/>
    <w:rsid w:val="00D17BDF"/>
    <w:rsid w:val="00D20706"/>
    <w:rsid w:val="00D20D73"/>
    <w:rsid w:val="00D23730"/>
    <w:rsid w:val="00D23A37"/>
    <w:rsid w:val="00D2460F"/>
    <w:rsid w:val="00D24940"/>
    <w:rsid w:val="00D3013E"/>
    <w:rsid w:val="00D315F8"/>
    <w:rsid w:val="00D32008"/>
    <w:rsid w:val="00D32173"/>
    <w:rsid w:val="00D323B7"/>
    <w:rsid w:val="00D3261A"/>
    <w:rsid w:val="00D33D26"/>
    <w:rsid w:val="00D33FB9"/>
    <w:rsid w:val="00D35626"/>
    <w:rsid w:val="00D3604A"/>
    <w:rsid w:val="00D36ABE"/>
    <w:rsid w:val="00D36E60"/>
    <w:rsid w:val="00D37261"/>
    <w:rsid w:val="00D42625"/>
    <w:rsid w:val="00D426CA"/>
    <w:rsid w:val="00D462E8"/>
    <w:rsid w:val="00D477E4"/>
    <w:rsid w:val="00D50026"/>
    <w:rsid w:val="00D50153"/>
    <w:rsid w:val="00D51217"/>
    <w:rsid w:val="00D526F1"/>
    <w:rsid w:val="00D52AAD"/>
    <w:rsid w:val="00D52AB3"/>
    <w:rsid w:val="00D54625"/>
    <w:rsid w:val="00D54D1D"/>
    <w:rsid w:val="00D5604D"/>
    <w:rsid w:val="00D569B1"/>
    <w:rsid w:val="00D5712F"/>
    <w:rsid w:val="00D573B3"/>
    <w:rsid w:val="00D57538"/>
    <w:rsid w:val="00D608AA"/>
    <w:rsid w:val="00D60BEF"/>
    <w:rsid w:val="00D6293D"/>
    <w:rsid w:val="00D645FA"/>
    <w:rsid w:val="00D66751"/>
    <w:rsid w:val="00D67639"/>
    <w:rsid w:val="00D67DB8"/>
    <w:rsid w:val="00D70730"/>
    <w:rsid w:val="00D70934"/>
    <w:rsid w:val="00D729C1"/>
    <w:rsid w:val="00D72C44"/>
    <w:rsid w:val="00D7440A"/>
    <w:rsid w:val="00D76746"/>
    <w:rsid w:val="00D7696C"/>
    <w:rsid w:val="00D7764C"/>
    <w:rsid w:val="00D777CC"/>
    <w:rsid w:val="00D77B6F"/>
    <w:rsid w:val="00D77DE8"/>
    <w:rsid w:val="00D81551"/>
    <w:rsid w:val="00D85BF4"/>
    <w:rsid w:val="00D86923"/>
    <w:rsid w:val="00D873B5"/>
    <w:rsid w:val="00D87BCC"/>
    <w:rsid w:val="00D91EB7"/>
    <w:rsid w:val="00D9296C"/>
    <w:rsid w:val="00D92A6D"/>
    <w:rsid w:val="00D92BD8"/>
    <w:rsid w:val="00D93207"/>
    <w:rsid w:val="00D9716F"/>
    <w:rsid w:val="00D97A38"/>
    <w:rsid w:val="00D97DA9"/>
    <w:rsid w:val="00D97F91"/>
    <w:rsid w:val="00DA0304"/>
    <w:rsid w:val="00DA2479"/>
    <w:rsid w:val="00DA2EE6"/>
    <w:rsid w:val="00DA31F8"/>
    <w:rsid w:val="00DA3946"/>
    <w:rsid w:val="00DA488D"/>
    <w:rsid w:val="00DB3461"/>
    <w:rsid w:val="00DB39ED"/>
    <w:rsid w:val="00DB4DB0"/>
    <w:rsid w:val="00DB6100"/>
    <w:rsid w:val="00DB6ACE"/>
    <w:rsid w:val="00DC0CA2"/>
    <w:rsid w:val="00DC4D4C"/>
    <w:rsid w:val="00DC4F8E"/>
    <w:rsid w:val="00DC5234"/>
    <w:rsid w:val="00DC5D21"/>
    <w:rsid w:val="00DC619A"/>
    <w:rsid w:val="00DD4461"/>
    <w:rsid w:val="00DD51D5"/>
    <w:rsid w:val="00DD5448"/>
    <w:rsid w:val="00DD5AB4"/>
    <w:rsid w:val="00DE0B07"/>
    <w:rsid w:val="00DE1803"/>
    <w:rsid w:val="00DE2155"/>
    <w:rsid w:val="00DE6568"/>
    <w:rsid w:val="00DE7344"/>
    <w:rsid w:val="00DE7740"/>
    <w:rsid w:val="00DF0C68"/>
    <w:rsid w:val="00DF5416"/>
    <w:rsid w:val="00DF5659"/>
    <w:rsid w:val="00DF6BEE"/>
    <w:rsid w:val="00DF79E8"/>
    <w:rsid w:val="00DF7A77"/>
    <w:rsid w:val="00E0044A"/>
    <w:rsid w:val="00E004A4"/>
    <w:rsid w:val="00E0270D"/>
    <w:rsid w:val="00E054F7"/>
    <w:rsid w:val="00E06AFB"/>
    <w:rsid w:val="00E0752C"/>
    <w:rsid w:val="00E11CBC"/>
    <w:rsid w:val="00E11FB2"/>
    <w:rsid w:val="00E124B0"/>
    <w:rsid w:val="00E12E97"/>
    <w:rsid w:val="00E13FEB"/>
    <w:rsid w:val="00E144A9"/>
    <w:rsid w:val="00E14758"/>
    <w:rsid w:val="00E175CA"/>
    <w:rsid w:val="00E17847"/>
    <w:rsid w:val="00E17EF8"/>
    <w:rsid w:val="00E2079F"/>
    <w:rsid w:val="00E20D41"/>
    <w:rsid w:val="00E20F24"/>
    <w:rsid w:val="00E211DA"/>
    <w:rsid w:val="00E218FF"/>
    <w:rsid w:val="00E21D26"/>
    <w:rsid w:val="00E2236E"/>
    <w:rsid w:val="00E2387A"/>
    <w:rsid w:val="00E2451D"/>
    <w:rsid w:val="00E3034F"/>
    <w:rsid w:val="00E314DE"/>
    <w:rsid w:val="00E35171"/>
    <w:rsid w:val="00E35D50"/>
    <w:rsid w:val="00E37A7C"/>
    <w:rsid w:val="00E37DA0"/>
    <w:rsid w:val="00E40DC9"/>
    <w:rsid w:val="00E40F7D"/>
    <w:rsid w:val="00E41DCA"/>
    <w:rsid w:val="00E41F89"/>
    <w:rsid w:val="00E421C1"/>
    <w:rsid w:val="00E444ED"/>
    <w:rsid w:val="00E44EB2"/>
    <w:rsid w:val="00E46577"/>
    <w:rsid w:val="00E50A32"/>
    <w:rsid w:val="00E51D10"/>
    <w:rsid w:val="00E52A41"/>
    <w:rsid w:val="00E531BB"/>
    <w:rsid w:val="00E53530"/>
    <w:rsid w:val="00E547C0"/>
    <w:rsid w:val="00E56308"/>
    <w:rsid w:val="00E56B8E"/>
    <w:rsid w:val="00E56EBD"/>
    <w:rsid w:val="00E57096"/>
    <w:rsid w:val="00E60143"/>
    <w:rsid w:val="00E60428"/>
    <w:rsid w:val="00E61173"/>
    <w:rsid w:val="00E6212F"/>
    <w:rsid w:val="00E62FED"/>
    <w:rsid w:val="00E63D42"/>
    <w:rsid w:val="00E65C91"/>
    <w:rsid w:val="00E66BDF"/>
    <w:rsid w:val="00E70CE2"/>
    <w:rsid w:val="00E72063"/>
    <w:rsid w:val="00E7220B"/>
    <w:rsid w:val="00E72533"/>
    <w:rsid w:val="00E74F9F"/>
    <w:rsid w:val="00E75BAA"/>
    <w:rsid w:val="00E76511"/>
    <w:rsid w:val="00E77E2A"/>
    <w:rsid w:val="00E80E4C"/>
    <w:rsid w:val="00E8152E"/>
    <w:rsid w:val="00E81F3C"/>
    <w:rsid w:val="00E826C9"/>
    <w:rsid w:val="00E82AB0"/>
    <w:rsid w:val="00E84183"/>
    <w:rsid w:val="00E85E20"/>
    <w:rsid w:val="00E87146"/>
    <w:rsid w:val="00E9107F"/>
    <w:rsid w:val="00E91E08"/>
    <w:rsid w:val="00E92497"/>
    <w:rsid w:val="00E926D3"/>
    <w:rsid w:val="00E94DBE"/>
    <w:rsid w:val="00E954E3"/>
    <w:rsid w:val="00E955DB"/>
    <w:rsid w:val="00E95D28"/>
    <w:rsid w:val="00E96B91"/>
    <w:rsid w:val="00E97F7E"/>
    <w:rsid w:val="00EA15DB"/>
    <w:rsid w:val="00EA352B"/>
    <w:rsid w:val="00EA653B"/>
    <w:rsid w:val="00EB0F3A"/>
    <w:rsid w:val="00EB1B17"/>
    <w:rsid w:val="00EB241E"/>
    <w:rsid w:val="00EB5A67"/>
    <w:rsid w:val="00EB7C9F"/>
    <w:rsid w:val="00EC1CF7"/>
    <w:rsid w:val="00EC43CF"/>
    <w:rsid w:val="00EC5213"/>
    <w:rsid w:val="00EC5A65"/>
    <w:rsid w:val="00EC5FB9"/>
    <w:rsid w:val="00EC5FD0"/>
    <w:rsid w:val="00EC687C"/>
    <w:rsid w:val="00EC76EE"/>
    <w:rsid w:val="00ED03E8"/>
    <w:rsid w:val="00ED0A01"/>
    <w:rsid w:val="00ED0D7B"/>
    <w:rsid w:val="00ED2305"/>
    <w:rsid w:val="00ED73D0"/>
    <w:rsid w:val="00EE518D"/>
    <w:rsid w:val="00EE5C04"/>
    <w:rsid w:val="00EF0C35"/>
    <w:rsid w:val="00EF27BC"/>
    <w:rsid w:val="00EF28A7"/>
    <w:rsid w:val="00EF604E"/>
    <w:rsid w:val="00EF7047"/>
    <w:rsid w:val="00F02187"/>
    <w:rsid w:val="00F058DC"/>
    <w:rsid w:val="00F10D2B"/>
    <w:rsid w:val="00F1107E"/>
    <w:rsid w:val="00F1206B"/>
    <w:rsid w:val="00F128BB"/>
    <w:rsid w:val="00F12D9C"/>
    <w:rsid w:val="00F140EC"/>
    <w:rsid w:val="00F15849"/>
    <w:rsid w:val="00F16D30"/>
    <w:rsid w:val="00F219F4"/>
    <w:rsid w:val="00F22446"/>
    <w:rsid w:val="00F242FC"/>
    <w:rsid w:val="00F25023"/>
    <w:rsid w:val="00F26A00"/>
    <w:rsid w:val="00F26D9A"/>
    <w:rsid w:val="00F30313"/>
    <w:rsid w:val="00F31034"/>
    <w:rsid w:val="00F310DC"/>
    <w:rsid w:val="00F355F7"/>
    <w:rsid w:val="00F3600F"/>
    <w:rsid w:val="00F40E77"/>
    <w:rsid w:val="00F4171A"/>
    <w:rsid w:val="00F4385C"/>
    <w:rsid w:val="00F43BB8"/>
    <w:rsid w:val="00F47BDE"/>
    <w:rsid w:val="00F505DD"/>
    <w:rsid w:val="00F51AF1"/>
    <w:rsid w:val="00F537A5"/>
    <w:rsid w:val="00F550EC"/>
    <w:rsid w:val="00F554F7"/>
    <w:rsid w:val="00F55C56"/>
    <w:rsid w:val="00F56C86"/>
    <w:rsid w:val="00F56D79"/>
    <w:rsid w:val="00F57BCC"/>
    <w:rsid w:val="00F60344"/>
    <w:rsid w:val="00F61693"/>
    <w:rsid w:val="00F62C27"/>
    <w:rsid w:val="00F63A87"/>
    <w:rsid w:val="00F64242"/>
    <w:rsid w:val="00F66B92"/>
    <w:rsid w:val="00F708B0"/>
    <w:rsid w:val="00F723E0"/>
    <w:rsid w:val="00F75237"/>
    <w:rsid w:val="00F753E2"/>
    <w:rsid w:val="00F75C5F"/>
    <w:rsid w:val="00F77429"/>
    <w:rsid w:val="00F77D69"/>
    <w:rsid w:val="00F80A87"/>
    <w:rsid w:val="00F842D3"/>
    <w:rsid w:val="00F9032E"/>
    <w:rsid w:val="00F90FD2"/>
    <w:rsid w:val="00F9170C"/>
    <w:rsid w:val="00F9340A"/>
    <w:rsid w:val="00F946EC"/>
    <w:rsid w:val="00F94D5C"/>
    <w:rsid w:val="00F96AE4"/>
    <w:rsid w:val="00F96C8C"/>
    <w:rsid w:val="00F97CBC"/>
    <w:rsid w:val="00FA1CF3"/>
    <w:rsid w:val="00FA21D4"/>
    <w:rsid w:val="00FA2F3E"/>
    <w:rsid w:val="00FA52D4"/>
    <w:rsid w:val="00FA5DC6"/>
    <w:rsid w:val="00FA60B6"/>
    <w:rsid w:val="00FB2D7D"/>
    <w:rsid w:val="00FB3DBA"/>
    <w:rsid w:val="00FB6064"/>
    <w:rsid w:val="00FB66C9"/>
    <w:rsid w:val="00FC1DB1"/>
    <w:rsid w:val="00FC20A9"/>
    <w:rsid w:val="00FC3294"/>
    <w:rsid w:val="00FC5C2F"/>
    <w:rsid w:val="00FC6C6C"/>
    <w:rsid w:val="00FD1DE0"/>
    <w:rsid w:val="00FD4D53"/>
    <w:rsid w:val="00FD78E9"/>
    <w:rsid w:val="00FE01B1"/>
    <w:rsid w:val="00FE14B4"/>
    <w:rsid w:val="00FE15B1"/>
    <w:rsid w:val="00FE3827"/>
    <w:rsid w:val="00FE39CC"/>
    <w:rsid w:val="00FE5187"/>
    <w:rsid w:val="00FE5C12"/>
    <w:rsid w:val="00FE5C82"/>
    <w:rsid w:val="00FF03C5"/>
    <w:rsid w:val="00FF435C"/>
    <w:rsid w:val="00FF4588"/>
    <w:rsid w:val="00FF5924"/>
    <w:rsid w:val="00FF64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F2DB5"/>
  <w15:chartTrackingRefBased/>
  <w15:docId w15:val="{E6152D1A-73FB-4444-B187-CA12C6D10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385"/>
  </w:style>
  <w:style w:type="paragraph" w:styleId="Heading1">
    <w:name w:val="heading 1"/>
    <w:basedOn w:val="Normal"/>
    <w:next w:val="Normal"/>
    <w:link w:val="Heading1Char"/>
    <w:autoRedefine/>
    <w:uiPriority w:val="9"/>
    <w:qFormat/>
    <w:rsid w:val="007603E6"/>
    <w:pPr>
      <w:keepNext/>
      <w:keepLines/>
      <w:shd w:val="clear" w:color="auto" w:fill="FFFFFF" w:themeFill="background1"/>
      <w:spacing w:before="120" w:after="120" w:line="276" w:lineRule="auto"/>
      <w:jc w:val="center"/>
      <w:outlineLvl w:val="0"/>
    </w:pPr>
    <w:rPr>
      <w:rFonts w:ascii="Bookman Old Style" w:hAnsi="Bookman Old Style" w:cstheme="majorBidi"/>
      <w:b/>
      <w:color w:val="0070C0"/>
      <w:sz w:val="28"/>
      <w:szCs w:val="28"/>
    </w:rPr>
  </w:style>
  <w:style w:type="paragraph" w:styleId="Heading2">
    <w:name w:val="heading 2"/>
    <w:basedOn w:val="Normal"/>
    <w:next w:val="Normal"/>
    <w:link w:val="Heading2Char"/>
    <w:uiPriority w:val="9"/>
    <w:unhideWhenUsed/>
    <w:qFormat/>
    <w:rsid w:val="002A7796"/>
    <w:pPr>
      <w:keepNext/>
      <w:keepLines/>
      <w:spacing w:before="160" w:after="120"/>
      <w:outlineLvl w:val="1"/>
    </w:pPr>
    <w:rPr>
      <w:rFonts w:ascii="Bookman Old Style" w:eastAsiaTheme="majorEastAsia" w:hAnsi="Bookman Old Style" w:cstheme="majorBidi"/>
      <w:b/>
      <w:color w:val="ED7D31" w:themeColor="accent2"/>
      <w:sz w:val="24"/>
      <w:szCs w:val="26"/>
    </w:rPr>
  </w:style>
  <w:style w:type="paragraph" w:styleId="Heading3">
    <w:name w:val="heading 3"/>
    <w:basedOn w:val="Normal"/>
    <w:next w:val="Normal"/>
    <w:link w:val="Heading3Char"/>
    <w:uiPriority w:val="9"/>
    <w:unhideWhenUsed/>
    <w:qFormat/>
    <w:rsid w:val="00BA2A8F"/>
    <w:pPr>
      <w:keepNext/>
      <w:keepLines/>
      <w:spacing w:before="40" w:after="0" w:line="360" w:lineRule="auto"/>
      <w:outlineLvl w:val="2"/>
    </w:pPr>
    <w:rPr>
      <w:rFonts w:ascii="Bookman Old Style" w:eastAsiaTheme="majorEastAsia" w:hAnsi="Bookman Old Style" w:cstheme="majorBidi"/>
      <w:b/>
      <w:color w:val="ED7D31" w:themeColor="accent2"/>
      <w:sz w:val="24"/>
      <w:szCs w:val="24"/>
    </w:rPr>
  </w:style>
  <w:style w:type="paragraph" w:styleId="Heading5">
    <w:name w:val="heading 5"/>
    <w:basedOn w:val="Normal"/>
    <w:next w:val="Normal"/>
    <w:link w:val="Heading5Char"/>
    <w:uiPriority w:val="9"/>
    <w:semiHidden/>
    <w:unhideWhenUsed/>
    <w:qFormat/>
    <w:rsid w:val="00C3324D"/>
    <w:pPr>
      <w:keepNext/>
      <w:keepLines/>
      <w:spacing w:before="40" w:after="0" w:line="240" w:lineRule="auto"/>
      <w:outlineLvl w:val="4"/>
    </w:pPr>
    <w:rPr>
      <w:rFonts w:asciiTheme="majorHAnsi" w:eastAsiaTheme="majorEastAsia" w:hAnsiTheme="majorHAnsi" w:cstheme="majorBidi"/>
      <w:color w:val="2F5496" w:themeColor="accent1" w:themeShade="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03E6"/>
    <w:rPr>
      <w:rFonts w:ascii="Bookman Old Style" w:hAnsi="Bookman Old Style" w:cstheme="majorBidi"/>
      <w:b/>
      <w:color w:val="0070C0"/>
      <w:sz w:val="28"/>
      <w:szCs w:val="28"/>
      <w:shd w:val="clear" w:color="auto" w:fill="FFFFFF" w:themeFill="background1"/>
    </w:rPr>
  </w:style>
  <w:style w:type="character" w:customStyle="1" w:styleId="Heading2Char">
    <w:name w:val="Heading 2 Char"/>
    <w:basedOn w:val="DefaultParagraphFont"/>
    <w:link w:val="Heading2"/>
    <w:uiPriority w:val="9"/>
    <w:rsid w:val="002A7796"/>
    <w:rPr>
      <w:rFonts w:ascii="Bookman Old Style" w:eastAsiaTheme="majorEastAsia" w:hAnsi="Bookman Old Style" w:cstheme="majorBidi"/>
      <w:b/>
      <w:color w:val="ED7D31" w:themeColor="accent2"/>
      <w:sz w:val="24"/>
      <w:szCs w:val="26"/>
    </w:rPr>
  </w:style>
  <w:style w:type="character" w:customStyle="1" w:styleId="Heading3Char">
    <w:name w:val="Heading 3 Char"/>
    <w:basedOn w:val="DefaultParagraphFont"/>
    <w:link w:val="Heading3"/>
    <w:uiPriority w:val="9"/>
    <w:rsid w:val="00BA2A8F"/>
    <w:rPr>
      <w:rFonts w:ascii="Bookman Old Style" w:eastAsiaTheme="majorEastAsia" w:hAnsi="Bookman Old Style" w:cstheme="majorBidi"/>
      <w:b/>
      <w:color w:val="ED7D31" w:themeColor="accent2"/>
      <w:sz w:val="24"/>
      <w:szCs w:val="24"/>
    </w:rPr>
  </w:style>
  <w:style w:type="table" w:styleId="TableGrid">
    <w:name w:val="Table Grid"/>
    <w:basedOn w:val="TableNormal"/>
    <w:uiPriority w:val="39"/>
    <w:rsid w:val="002D5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5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ADD"/>
  </w:style>
  <w:style w:type="paragraph" w:styleId="Footer">
    <w:name w:val="footer"/>
    <w:basedOn w:val="Normal"/>
    <w:link w:val="FooterChar"/>
    <w:uiPriority w:val="99"/>
    <w:unhideWhenUsed/>
    <w:rsid w:val="002D5A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ADD"/>
  </w:style>
  <w:style w:type="paragraph" w:styleId="NormalWeb">
    <w:name w:val="Normal (Web)"/>
    <w:basedOn w:val="Normal"/>
    <w:uiPriority w:val="99"/>
    <w:unhideWhenUsed/>
    <w:rsid w:val="008210E8"/>
    <w:pPr>
      <w:spacing w:after="225"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44A8"/>
    <w:rPr>
      <w:b/>
      <w:bCs/>
    </w:rPr>
  </w:style>
  <w:style w:type="character" w:styleId="Emphasis">
    <w:name w:val="Emphasis"/>
    <w:basedOn w:val="DefaultParagraphFont"/>
    <w:uiPriority w:val="20"/>
    <w:qFormat/>
    <w:rsid w:val="00B918E3"/>
    <w:rPr>
      <w:i/>
      <w:iCs/>
    </w:rPr>
  </w:style>
  <w:style w:type="paragraph" w:styleId="NoSpacing">
    <w:name w:val="No Spacing"/>
    <w:link w:val="NoSpacingChar"/>
    <w:uiPriority w:val="1"/>
    <w:qFormat/>
    <w:rsid w:val="00720190"/>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720190"/>
    <w:rPr>
      <w:rFonts w:ascii="Calibri" w:eastAsia="Times New Roman" w:hAnsi="Calibri" w:cs="Times New Roman"/>
    </w:rPr>
  </w:style>
  <w:style w:type="paragraph" w:customStyle="1" w:styleId="NoSpacing1">
    <w:name w:val="No Spacing1"/>
    <w:uiPriority w:val="1"/>
    <w:qFormat/>
    <w:rsid w:val="00720190"/>
    <w:pPr>
      <w:spacing w:after="0" w:line="240" w:lineRule="auto"/>
    </w:pPr>
    <w:rPr>
      <w:rFonts w:ascii="Calibri" w:eastAsia="Times New Roman" w:hAnsi="Calibri" w:cs="Times New Roman"/>
    </w:rPr>
  </w:style>
  <w:style w:type="paragraph" w:styleId="ListParagraph">
    <w:name w:val="List Paragraph"/>
    <w:aliases w:val="AB List 1,Bullet Points,ProcessA,Paragraphe de liste,Liste couleur - Accent 1,Liste couleur - Accent 14,List Bulet,Puces,References,- List tir,List Bullet Mary,NUMBERED PARAGRAPH,List Paragraph 1,List Paragraph (numbered (a)),lp1,Bullets"/>
    <w:basedOn w:val="Normal"/>
    <w:link w:val="ListParagraphChar"/>
    <w:uiPriority w:val="34"/>
    <w:qFormat/>
    <w:rsid w:val="00CC6737"/>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AB List 1 Char,Bullet Points Char,ProcessA Char,Paragraphe de liste Char,Liste couleur - Accent 1 Char,Liste couleur - Accent 14 Char,List Bulet Char,Puces Char,References Char,- List tir Char,List Bullet Mary Char,lp1 Char"/>
    <w:link w:val="ListParagraph"/>
    <w:uiPriority w:val="34"/>
    <w:qFormat/>
    <w:rsid w:val="00DF6BEE"/>
    <w:rPr>
      <w:rFonts w:ascii="Times New Roman" w:eastAsia="Times New Roman" w:hAnsi="Times New Roman" w:cs="Times New Roman"/>
      <w:sz w:val="24"/>
      <w:szCs w:val="24"/>
    </w:rPr>
  </w:style>
  <w:style w:type="paragraph" w:styleId="FootnoteText">
    <w:name w:val="footnote text"/>
    <w:aliases w:val="single space,FOOTNOTES,fn,footnote text,Footnote Text Char1,Footnote Text Char Char,Footnote Text 1,Footnote,Footnote Text qer,f,Footnote Text Char2 Char,Footnote Text Char1 Char Char,Footnote Text Char2 Char Char Char,ALTS FOOTNOTE,ft,ADB"/>
    <w:basedOn w:val="Normal"/>
    <w:link w:val="FootnoteTextChar"/>
    <w:uiPriority w:val="99"/>
    <w:unhideWhenUsed/>
    <w:qFormat/>
    <w:rsid w:val="00DF6BEE"/>
    <w:pPr>
      <w:spacing w:after="0" w:line="240" w:lineRule="auto"/>
    </w:pPr>
    <w:rPr>
      <w:sz w:val="20"/>
      <w:szCs w:val="20"/>
    </w:rPr>
  </w:style>
  <w:style w:type="character" w:customStyle="1" w:styleId="FootnoteTextChar">
    <w:name w:val="Footnote Text Char"/>
    <w:aliases w:val="single space Char,FOOTNOTES Char,fn Char,footnote text Char,Footnote Text Char1 Char,Footnote Text Char Char Char,Footnote Text 1 Char,Footnote Char,Footnote Text qer Char,f Char,Footnote Text Char2 Char Char,ALTS FOOTNOTE Char"/>
    <w:basedOn w:val="DefaultParagraphFont"/>
    <w:link w:val="FootnoteText"/>
    <w:uiPriority w:val="99"/>
    <w:rsid w:val="00DF6BEE"/>
    <w:rPr>
      <w:sz w:val="20"/>
      <w:szCs w:val="20"/>
    </w:rPr>
  </w:style>
  <w:style w:type="character" w:styleId="FootnoteReference">
    <w:name w:val="footnote reference"/>
    <w:aliases w:val="ftref,Error-Fußnotenzeichen5,Error-Fußnotenzeichen6,Error-Fußnotenzeichen3,Footnote Reference1,BVI fnr,Footnote Reference Number,Footnote Reference_LVL6,Footnote Reference_LVL61,Footnote Reference_LVL62,Footnote Reference_LVL63,fr,Ref"/>
    <w:basedOn w:val="DefaultParagraphFont"/>
    <w:link w:val="CharChar1CharCharCharChar1CharCharCharCharCharCharCharChar"/>
    <w:uiPriority w:val="99"/>
    <w:unhideWhenUsed/>
    <w:qFormat/>
    <w:rsid w:val="00DF6BEE"/>
    <w:rPr>
      <w:vertAlign w:val="superscrip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rsid w:val="00DF6BEE"/>
    <w:pPr>
      <w:spacing w:line="240" w:lineRule="exact"/>
    </w:pPr>
    <w:rPr>
      <w:vertAlign w:val="superscript"/>
    </w:rPr>
  </w:style>
  <w:style w:type="paragraph" w:styleId="Caption">
    <w:name w:val="caption"/>
    <w:aliases w:val="Caption Char2,Caption Char1 Char,Caption Char Char Char1,Caption Char Char1,Caption Char Char Char Char,Caption Char Char Char,Caption1 Char,Caption1,Table title,Figure Head,Table,LVT Table Heading,WB Caption,AICD,quarterly chart caption"/>
    <w:basedOn w:val="Normal"/>
    <w:next w:val="Normal"/>
    <w:link w:val="CaptionChar"/>
    <w:uiPriority w:val="35"/>
    <w:unhideWhenUsed/>
    <w:qFormat/>
    <w:rsid w:val="008B6B6D"/>
    <w:pPr>
      <w:keepNext/>
      <w:keepLines/>
      <w:spacing w:after="40" w:line="240" w:lineRule="auto"/>
    </w:pPr>
    <w:rPr>
      <w:rFonts w:ascii="Bookman Old Style" w:hAnsi="Bookman Old Style"/>
      <w:b/>
      <w:bCs/>
      <w:color w:val="323E4F" w:themeColor="text2" w:themeShade="BF"/>
      <w:sz w:val="20"/>
      <w:szCs w:val="18"/>
    </w:rPr>
  </w:style>
  <w:style w:type="character" w:customStyle="1" w:styleId="CaptionChar">
    <w:name w:val="Caption Char"/>
    <w:aliases w:val="Caption Char2 Char,Caption Char1 Char Char,Caption Char Char Char1 Char,Caption Char Char1 Char,Caption Char Char Char Char Char,Caption Char Char Char Char1,Caption1 Char Char,Caption1 Char1,Table title Char,Figure Head Char,Table Char"/>
    <w:basedOn w:val="DefaultParagraphFont"/>
    <w:link w:val="Caption"/>
    <w:uiPriority w:val="35"/>
    <w:locked/>
    <w:rsid w:val="008B6B6D"/>
    <w:rPr>
      <w:rFonts w:ascii="Bookman Old Style" w:hAnsi="Bookman Old Style"/>
      <w:b/>
      <w:bCs/>
      <w:color w:val="323E4F" w:themeColor="text2" w:themeShade="BF"/>
      <w:sz w:val="20"/>
      <w:szCs w:val="18"/>
    </w:rPr>
  </w:style>
  <w:style w:type="table" w:customStyle="1" w:styleId="TableGrid1">
    <w:name w:val="Table Grid1"/>
    <w:basedOn w:val="TableNormal"/>
    <w:next w:val="TableGrid"/>
    <w:uiPriority w:val="59"/>
    <w:rsid w:val="00B54B8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body-text">
    <w:name w:val="story-body-text"/>
    <w:basedOn w:val="Normal"/>
    <w:rsid w:val="00D744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14758"/>
    <w:pPr>
      <w:autoSpaceDE w:val="0"/>
      <w:autoSpaceDN w:val="0"/>
      <w:adjustRightInd w:val="0"/>
      <w:spacing w:after="0" w:line="240" w:lineRule="auto"/>
    </w:pPr>
    <w:rPr>
      <w:rFonts w:ascii="Cambria" w:hAnsi="Cambria" w:cs="Cambria"/>
      <w:color w:val="000000"/>
      <w:sz w:val="24"/>
      <w:szCs w:val="24"/>
    </w:rPr>
  </w:style>
  <w:style w:type="paragraph" w:customStyle="1" w:styleId="Pa15">
    <w:name w:val="Pa15"/>
    <w:basedOn w:val="Default"/>
    <w:next w:val="Default"/>
    <w:uiPriority w:val="99"/>
    <w:rsid w:val="00E14758"/>
    <w:pPr>
      <w:spacing w:line="401" w:lineRule="atLeast"/>
    </w:pPr>
    <w:rPr>
      <w:rFonts w:ascii="Frutiger CE 45 Light" w:hAnsi="Frutiger CE 45 Light" w:cstheme="minorBidi"/>
      <w:color w:val="auto"/>
    </w:rPr>
  </w:style>
  <w:style w:type="paragraph" w:customStyle="1" w:styleId="Pa1">
    <w:name w:val="Pa1"/>
    <w:basedOn w:val="Default"/>
    <w:next w:val="Default"/>
    <w:uiPriority w:val="99"/>
    <w:rsid w:val="00E14758"/>
    <w:pPr>
      <w:spacing w:line="191" w:lineRule="atLeast"/>
    </w:pPr>
    <w:rPr>
      <w:rFonts w:ascii="Frutiger CE 45 Light" w:hAnsi="Frutiger CE 45 Light" w:cstheme="minorBidi"/>
      <w:color w:val="auto"/>
    </w:rPr>
  </w:style>
  <w:style w:type="character" w:customStyle="1" w:styleId="tgc">
    <w:name w:val="_tgc"/>
    <w:basedOn w:val="DefaultParagraphFont"/>
    <w:rsid w:val="00E14758"/>
  </w:style>
  <w:style w:type="paragraph" w:styleId="EndnoteText">
    <w:name w:val="endnote text"/>
    <w:basedOn w:val="Normal"/>
    <w:link w:val="EndnoteTextChar"/>
    <w:uiPriority w:val="99"/>
    <w:semiHidden/>
    <w:unhideWhenUsed/>
    <w:rsid w:val="00E147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14758"/>
    <w:rPr>
      <w:sz w:val="20"/>
      <w:szCs w:val="20"/>
    </w:rPr>
  </w:style>
  <w:style w:type="character" w:styleId="EndnoteReference">
    <w:name w:val="endnote reference"/>
    <w:basedOn w:val="DefaultParagraphFont"/>
    <w:uiPriority w:val="99"/>
    <w:semiHidden/>
    <w:unhideWhenUsed/>
    <w:rsid w:val="00E14758"/>
    <w:rPr>
      <w:vertAlign w:val="superscript"/>
    </w:rPr>
  </w:style>
  <w:style w:type="character" w:customStyle="1" w:styleId="A4">
    <w:name w:val="A4"/>
    <w:uiPriority w:val="99"/>
    <w:rsid w:val="005B4AA7"/>
    <w:rPr>
      <w:rFonts w:cs="HelveticaNeueLT Pro 65 Md"/>
      <w:color w:val="000000"/>
      <w:sz w:val="20"/>
      <w:szCs w:val="20"/>
    </w:rPr>
  </w:style>
  <w:style w:type="character" w:styleId="IntenseReference">
    <w:name w:val="Intense Reference"/>
    <w:basedOn w:val="DefaultParagraphFont"/>
    <w:uiPriority w:val="32"/>
    <w:qFormat/>
    <w:rsid w:val="00C82D47"/>
    <w:rPr>
      <w:b/>
      <w:bCs/>
      <w:smallCaps/>
      <w:color w:val="4472C4" w:themeColor="accent1"/>
      <w:spacing w:val="5"/>
    </w:rPr>
  </w:style>
  <w:style w:type="paragraph" w:styleId="TOCHeading">
    <w:name w:val="TOC Heading"/>
    <w:basedOn w:val="Heading1"/>
    <w:next w:val="Normal"/>
    <w:uiPriority w:val="39"/>
    <w:unhideWhenUsed/>
    <w:qFormat/>
    <w:rsid w:val="00C82D47"/>
    <w:pPr>
      <w:spacing w:before="240" w:line="259" w:lineRule="auto"/>
      <w:outlineLvl w:val="9"/>
    </w:pPr>
    <w:rPr>
      <w:rFonts w:asciiTheme="majorHAnsi" w:eastAsiaTheme="majorEastAsia" w:hAnsiTheme="majorHAnsi"/>
      <w:b w:val="0"/>
      <w:color w:val="2F5496" w:themeColor="accent1" w:themeShade="BF"/>
      <w:sz w:val="32"/>
      <w:szCs w:val="32"/>
    </w:rPr>
  </w:style>
  <w:style w:type="paragraph" w:styleId="TOC1">
    <w:name w:val="toc 1"/>
    <w:basedOn w:val="Normal"/>
    <w:next w:val="Normal"/>
    <w:autoRedefine/>
    <w:uiPriority w:val="39"/>
    <w:unhideWhenUsed/>
    <w:rsid w:val="00C82D47"/>
    <w:pPr>
      <w:spacing w:after="100"/>
    </w:pPr>
  </w:style>
  <w:style w:type="character" w:styleId="Hyperlink">
    <w:name w:val="Hyperlink"/>
    <w:basedOn w:val="DefaultParagraphFont"/>
    <w:uiPriority w:val="99"/>
    <w:unhideWhenUsed/>
    <w:rsid w:val="00C82D47"/>
    <w:rPr>
      <w:color w:val="0563C1" w:themeColor="hyperlink"/>
      <w:u w:val="single"/>
    </w:rPr>
  </w:style>
  <w:style w:type="paragraph" w:styleId="TOC2">
    <w:name w:val="toc 2"/>
    <w:basedOn w:val="Normal"/>
    <w:next w:val="Normal"/>
    <w:autoRedefine/>
    <w:uiPriority w:val="39"/>
    <w:unhideWhenUsed/>
    <w:rsid w:val="00E84183"/>
    <w:pPr>
      <w:spacing w:after="100"/>
      <w:ind w:left="220"/>
    </w:pPr>
  </w:style>
  <w:style w:type="paragraph" w:styleId="TOC3">
    <w:name w:val="toc 3"/>
    <w:basedOn w:val="Normal"/>
    <w:next w:val="Normal"/>
    <w:autoRedefine/>
    <w:uiPriority w:val="39"/>
    <w:unhideWhenUsed/>
    <w:rsid w:val="00E84183"/>
    <w:pPr>
      <w:spacing w:after="100"/>
      <w:ind w:left="440"/>
    </w:pPr>
  </w:style>
  <w:style w:type="paragraph" w:styleId="TableofFigures">
    <w:name w:val="table of figures"/>
    <w:basedOn w:val="Normal"/>
    <w:next w:val="Normal"/>
    <w:uiPriority w:val="99"/>
    <w:unhideWhenUsed/>
    <w:rsid w:val="00E21D26"/>
    <w:pPr>
      <w:spacing w:after="0"/>
    </w:pPr>
  </w:style>
  <w:style w:type="paragraph" w:styleId="BalloonText">
    <w:name w:val="Balloon Text"/>
    <w:basedOn w:val="Normal"/>
    <w:link w:val="BalloonTextChar"/>
    <w:uiPriority w:val="99"/>
    <w:semiHidden/>
    <w:unhideWhenUsed/>
    <w:rsid w:val="007A0CCB"/>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7A0CCB"/>
    <w:rPr>
      <w:rFonts w:ascii="Segoe UI" w:eastAsia="Calibri" w:hAnsi="Segoe UI" w:cs="Segoe UI"/>
      <w:sz w:val="18"/>
      <w:szCs w:val="18"/>
    </w:rPr>
  </w:style>
  <w:style w:type="character" w:customStyle="1" w:styleId="Heading5Char">
    <w:name w:val="Heading 5 Char"/>
    <w:basedOn w:val="DefaultParagraphFont"/>
    <w:link w:val="Heading5"/>
    <w:uiPriority w:val="9"/>
    <w:semiHidden/>
    <w:rsid w:val="00C3324D"/>
    <w:rPr>
      <w:rFonts w:asciiTheme="majorHAnsi" w:eastAsiaTheme="majorEastAsia" w:hAnsiTheme="majorHAnsi" w:cstheme="majorBidi"/>
      <w:color w:val="2F5496" w:themeColor="accent1" w:themeShade="BF"/>
      <w:sz w:val="24"/>
      <w:szCs w:val="20"/>
    </w:rPr>
  </w:style>
  <w:style w:type="paragraph" w:customStyle="1" w:styleId="FSAheading1">
    <w:name w:val="FSAheading1"/>
    <w:basedOn w:val="Heading1"/>
    <w:link w:val="FSAheading1Char"/>
    <w:qFormat/>
    <w:rsid w:val="00C3324D"/>
    <w:pPr>
      <w:keepLines w:val="0"/>
      <w:numPr>
        <w:numId w:val="9"/>
      </w:numPr>
      <w:shd w:val="clear" w:color="auto" w:fill="auto"/>
      <w:spacing w:after="240" w:line="240" w:lineRule="auto"/>
    </w:pPr>
    <w:rPr>
      <w:rFonts w:ascii="Times New Roman" w:eastAsia="Times New Roman" w:hAnsi="Times New Roman" w:cs="Arial"/>
      <w:bCs/>
      <w:smallCaps/>
      <w:color w:val="2F5496" w:themeColor="accent1" w:themeShade="BF"/>
      <w:kern w:val="28"/>
      <w:sz w:val="24"/>
      <w:szCs w:val="32"/>
    </w:rPr>
  </w:style>
  <w:style w:type="character" w:customStyle="1" w:styleId="FSAheading1Char">
    <w:name w:val="FSAheading1 Char"/>
    <w:basedOn w:val="Heading1Char"/>
    <w:link w:val="FSAheading1"/>
    <w:rsid w:val="00C3324D"/>
    <w:rPr>
      <w:rFonts w:ascii="Times New Roman" w:eastAsia="Times New Roman" w:hAnsi="Times New Roman" w:cs="Arial"/>
      <w:b/>
      <w:bCs/>
      <w:smallCaps/>
      <w:color w:val="2F5496" w:themeColor="accent1" w:themeShade="BF"/>
      <w:kern w:val="28"/>
      <w:sz w:val="24"/>
      <w:szCs w:val="32"/>
      <w:shd w:val="clear" w:color="auto" w:fill="FFC000" w:themeFill="accent4"/>
    </w:rPr>
  </w:style>
  <w:style w:type="paragraph" w:customStyle="1" w:styleId="Fighead">
    <w:name w:val="Fighead"/>
    <w:basedOn w:val="Normal"/>
    <w:qFormat/>
    <w:rsid w:val="00C3324D"/>
    <w:pPr>
      <w:spacing w:after="0" w:line="240" w:lineRule="auto"/>
      <w:jc w:val="both"/>
    </w:pPr>
    <w:rPr>
      <w:rFonts w:ascii="Times New Roman" w:eastAsia="Times New Roman" w:hAnsi="Times New Roman"/>
      <w:b/>
      <w:sz w:val="24"/>
      <w:lang w:eastAsia="es-ES"/>
    </w:rPr>
  </w:style>
  <w:style w:type="character" w:styleId="CommentReference">
    <w:name w:val="annotation reference"/>
    <w:basedOn w:val="DefaultParagraphFont"/>
    <w:uiPriority w:val="99"/>
    <w:semiHidden/>
    <w:unhideWhenUsed/>
    <w:rsid w:val="00C3324D"/>
    <w:rPr>
      <w:sz w:val="16"/>
      <w:szCs w:val="16"/>
    </w:rPr>
  </w:style>
  <w:style w:type="paragraph" w:styleId="CommentText">
    <w:name w:val="annotation text"/>
    <w:basedOn w:val="Normal"/>
    <w:link w:val="CommentTextChar"/>
    <w:uiPriority w:val="99"/>
    <w:semiHidden/>
    <w:unhideWhenUsed/>
    <w:rsid w:val="00C3324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C3324D"/>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C3324D"/>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C3324D"/>
    <w:rPr>
      <w:b/>
      <w:bCs/>
    </w:rPr>
  </w:style>
  <w:style w:type="paragraph" w:customStyle="1" w:styleId="FSAparagraph">
    <w:name w:val="FSAparagraph"/>
    <w:basedOn w:val="Normal"/>
    <w:link w:val="FSAparagraphChar"/>
    <w:qFormat/>
    <w:rsid w:val="00C3324D"/>
    <w:pPr>
      <w:numPr>
        <w:numId w:val="12"/>
      </w:numPr>
      <w:tabs>
        <w:tab w:val="clear" w:pos="720"/>
        <w:tab w:val="num" w:pos="360"/>
      </w:tabs>
      <w:spacing w:after="240" w:line="240" w:lineRule="auto"/>
    </w:pPr>
    <w:rPr>
      <w:rFonts w:ascii="Times New Roman" w:eastAsia="Times New Roman" w:hAnsi="Times New Roman" w:cs="Times New Roman"/>
      <w:sz w:val="24"/>
      <w:szCs w:val="20"/>
    </w:rPr>
  </w:style>
  <w:style w:type="character" w:customStyle="1" w:styleId="FSAparagraphChar">
    <w:name w:val="FSAparagraph Char"/>
    <w:basedOn w:val="DefaultParagraphFont"/>
    <w:link w:val="FSAparagraph"/>
    <w:rsid w:val="00C3324D"/>
    <w:rPr>
      <w:rFonts w:ascii="Times New Roman" w:eastAsia="Times New Roman" w:hAnsi="Times New Roman" w:cs="Times New Roman"/>
      <w:sz w:val="24"/>
      <w:szCs w:val="20"/>
    </w:rPr>
  </w:style>
  <w:style w:type="character" w:customStyle="1" w:styleId="ilfuvd">
    <w:name w:val="ilfuvd"/>
    <w:basedOn w:val="DefaultParagraphFont"/>
    <w:rsid w:val="00C3324D"/>
  </w:style>
  <w:style w:type="character" w:customStyle="1" w:styleId="st">
    <w:name w:val="st"/>
    <w:basedOn w:val="DefaultParagraphFont"/>
    <w:rsid w:val="00C33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40509">
      <w:bodyDiv w:val="1"/>
      <w:marLeft w:val="0"/>
      <w:marRight w:val="0"/>
      <w:marTop w:val="0"/>
      <w:marBottom w:val="0"/>
      <w:divBdr>
        <w:top w:val="none" w:sz="0" w:space="0" w:color="auto"/>
        <w:left w:val="none" w:sz="0" w:space="0" w:color="auto"/>
        <w:bottom w:val="none" w:sz="0" w:space="0" w:color="auto"/>
        <w:right w:val="none" w:sz="0" w:space="0" w:color="auto"/>
      </w:divBdr>
      <w:divsChild>
        <w:div w:id="35667010">
          <w:marLeft w:val="0"/>
          <w:marRight w:val="0"/>
          <w:marTop w:val="0"/>
          <w:marBottom w:val="0"/>
          <w:divBdr>
            <w:top w:val="none" w:sz="0" w:space="0" w:color="auto"/>
            <w:left w:val="none" w:sz="0" w:space="0" w:color="auto"/>
            <w:bottom w:val="none" w:sz="0" w:space="0" w:color="auto"/>
            <w:right w:val="none" w:sz="0" w:space="0" w:color="auto"/>
          </w:divBdr>
        </w:div>
        <w:div w:id="114760892">
          <w:marLeft w:val="0"/>
          <w:marRight w:val="0"/>
          <w:marTop w:val="0"/>
          <w:marBottom w:val="0"/>
          <w:divBdr>
            <w:top w:val="none" w:sz="0" w:space="0" w:color="auto"/>
            <w:left w:val="none" w:sz="0" w:space="0" w:color="auto"/>
            <w:bottom w:val="none" w:sz="0" w:space="0" w:color="auto"/>
            <w:right w:val="none" w:sz="0" w:space="0" w:color="auto"/>
          </w:divBdr>
        </w:div>
        <w:div w:id="148598589">
          <w:marLeft w:val="0"/>
          <w:marRight w:val="0"/>
          <w:marTop w:val="0"/>
          <w:marBottom w:val="0"/>
          <w:divBdr>
            <w:top w:val="none" w:sz="0" w:space="0" w:color="auto"/>
            <w:left w:val="none" w:sz="0" w:space="0" w:color="auto"/>
            <w:bottom w:val="none" w:sz="0" w:space="0" w:color="auto"/>
            <w:right w:val="none" w:sz="0" w:space="0" w:color="auto"/>
          </w:divBdr>
        </w:div>
        <w:div w:id="194660100">
          <w:marLeft w:val="0"/>
          <w:marRight w:val="0"/>
          <w:marTop w:val="0"/>
          <w:marBottom w:val="0"/>
          <w:divBdr>
            <w:top w:val="none" w:sz="0" w:space="0" w:color="auto"/>
            <w:left w:val="none" w:sz="0" w:space="0" w:color="auto"/>
            <w:bottom w:val="none" w:sz="0" w:space="0" w:color="auto"/>
            <w:right w:val="none" w:sz="0" w:space="0" w:color="auto"/>
          </w:divBdr>
        </w:div>
        <w:div w:id="307443555">
          <w:marLeft w:val="0"/>
          <w:marRight w:val="0"/>
          <w:marTop w:val="0"/>
          <w:marBottom w:val="0"/>
          <w:divBdr>
            <w:top w:val="none" w:sz="0" w:space="0" w:color="auto"/>
            <w:left w:val="none" w:sz="0" w:space="0" w:color="auto"/>
            <w:bottom w:val="none" w:sz="0" w:space="0" w:color="auto"/>
            <w:right w:val="none" w:sz="0" w:space="0" w:color="auto"/>
          </w:divBdr>
        </w:div>
        <w:div w:id="431513054">
          <w:marLeft w:val="0"/>
          <w:marRight w:val="0"/>
          <w:marTop w:val="0"/>
          <w:marBottom w:val="0"/>
          <w:divBdr>
            <w:top w:val="none" w:sz="0" w:space="0" w:color="auto"/>
            <w:left w:val="none" w:sz="0" w:space="0" w:color="auto"/>
            <w:bottom w:val="none" w:sz="0" w:space="0" w:color="auto"/>
            <w:right w:val="none" w:sz="0" w:space="0" w:color="auto"/>
          </w:divBdr>
        </w:div>
        <w:div w:id="673000491">
          <w:marLeft w:val="0"/>
          <w:marRight w:val="0"/>
          <w:marTop w:val="0"/>
          <w:marBottom w:val="0"/>
          <w:divBdr>
            <w:top w:val="none" w:sz="0" w:space="0" w:color="auto"/>
            <w:left w:val="none" w:sz="0" w:space="0" w:color="auto"/>
            <w:bottom w:val="none" w:sz="0" w:space="0" w:color="auto"/>
            <w:right w:val="none" w:sz="0" w:space="0" w:color="auto"/>
          </w:divBdr>
        </w:div>
        <w:div w:id="769472063">
          <w:marLeft w:val="0"/>
          <w:marRight w:val="0"/>
          <w:marTop w:val="0"/>
          <w:marBottom w:val="0"/>
          <w:divBdr>
            <w:top w:val="none" w:sz="0" w:space="0" w:color="auto"/>
            <w:left w:val="none" w:sz="0" w:space="0" w:color="auto"/>
            <w:bottom w:val="none" w:sz="0" w:space="0" w:color="auto"/>
            <w:right w:val="none" w:sz="0" w:space="0" w:color="auto"/>
          </w:divBdr>
        </w:div>
        <w:div w:id="835069322">
          <w:marLeft w:val="0"/>
          <w:marRight w:val="0"/>
          <w:marTop w:val="0"/>
          <w:marBottom w:val="0"/>
          <w:divBdr>
            <w:top w:val="none" w:sz="0" w:space="0" w:color="auto"/>
            <w:left w:val="none" w:sz="0" w:space="0" w:color="auto"/>
            <w:bottom w:val="none" w:sz="0" w:space="0" w:color="auto"/>
            <w:right w:val="none" w:sz="0" w:space="0" w:color="auto"/>
          </w:divBdr>
        </w:div>
        <w:div w:id="835463901">
          <w:marLeft w:val="0"/>
          <w:marRight w:val="0"/>
          <w:marTop w:val="0"/>
          <w:marBottom w:val="0"/>
          <w:divBdr>
            <w:top w:val="none" w:sz="0" w:space="0" w:color="auto"/>
            <w:left w:val="none" w:sz="0" w:space="0" w:color="auto"/>
            <w:bottom w:val="none" w:sz="0" w:space="0" w:color="auto"/>
            <w:right w:val="none" w:sz="0" w:space="0" w:color="auto"/>
          </w:divBdr>
        </w:div>
        <w:div w:id="844367892">
          <w:marLeft w:val="0"/>
          <w:marRight w:val="0"/>
          <w:marTop w:val="0"/>
          <w:marBottom w:val="0"/>
          <w:divBdr>
            <w:top w:val="none" w:sz="0" w:space="0" w:color="auto"/>
            <w:left w:val="none" w:sz="0" w:space="0" w:color="auto"/>
            <w:bottom w:val="none" w:sz="0" w:space="0" w:color="auto"/>
            <w:right w:val="none" w:sz="0" w:space="0" w:color="auto"/>
          </w:divBdr>
        </w:div>
        <w:div w:id="1075591323">
          <w:marLeft w:val="0"/>
          <w:marRight w:val="0"/>
          <w:marTop w:val="0"/>
          <w:marBottom w:val="0"/>
          <w:divBdr>
            <w:top w:val="none" w:sz="0" w:space="0" w:color="auto"/>
            <w:left w:val="none" w:sz="0" w:space="0" w:color="auto"/>
            <w:bottom w:val="none" w:sz="0" w:space="0" w:color="auto"/>
            <w:right w:val="none" w:sz="0" w:space="0" w:color="auto"/>
          </w:divBdr>
        </w:div>
        <w:div w:id="1105927944">
          <w:marLeft w:val="0"/>
          <w:marRight w:val="0"/>
          <w:marTop w:val="0"/>
          <w:marBottom w:val="0"/>
          <w:divBdr>
            <w:top w:val="none" w:sz="0" w:space="0" w:color="auto"/>
            <w:left w:val="none" w:sz="0" w:space="0" w:color="auto"/>
            <w:bottom w:val="none" w:sz="0" w:space="0" w:color="auto"/>
            <w:right w:val="none" w:sz="0" w:space="0" w:color="auto"/>
          </w:divBdr>
        </w:div>
        <w:div w:id="1156991565">
          <w:marLeft w:val="0"/>
          <w:marRight w:val="0"/>
          <w:marTop w:val="0"/>
          <w:marBottom w:val="0"/>
          <w:divBdr>
            <w:top w:val="none" w:sz="0" w:space="0" w:color="auto"/>
            <w:left w:val="none" w:sz="0" w:space="0" w:color="auto"/>
            <w:bottom w:val="none" w:sz="0" w:space="0" w:color="auto"/>
            <w:right w:val="none" w:sz="0" w:space="0" w:color="auto"/>
          </w:divBdr>
        </w:div>
        <w:div w:id="1303462326">
          <w:marLeft w:val="0"/>
          <w:marRight w:val="0"/>
          <w:marTop w:val="0"/>
          <w:marBottom w:val="0"/>
          <w:divBdr>
            <w:top w:val="none" w:sz="0" w:space="0" w:color="auto"/>
            <w:left w:val="none" w:sz="0" w:space="0" w:color="auto"/>
            <w:bottom w:val="none" w:sz="0" w:space="0" w:color="auto"/>
            <w:right w:val="none" w:sz="0" w:space="0" w:color="auto"/>
          </w:divBdr>
        </w:div>
        <w:div w:id="1345666781">
          <w:marLeft w:val="0"/>
          <w:marRight w:val="0"/>
          <w:marTop w:val="0"/>
          <w:marBottom w:val="0"/>
          <w:divBdr>
            <w:top w:val="none" w:sz="0" w:space="0" w:color="auto"/>
            <w:left w:val="none" w:sz="0" w:space="0" w:color="auto"/>
            <w:bottom w:val="none" w:sz="0" w:space="0" w:color="auto"/>
            <w:right w:val="none" w:sz="0" w:space="0" w:color="auto"/>
          </w:divBdr>
        </w:div>
        <w:div w:id="1352033099">
          <w:marLeft w:val="0"/>
          <w:marRight w:val="0"/>
          <w:marTop w:val="0"/>
          <w:marBottom w:val="0"/>
          <w:divBdr>
            <w:top w:val="none" w:sz="0" w:space="0" w:color="auto"/>
            <w:left w:val="none" w:sz="0" w:space="0" w:color="auto"/>
            <w:bottom w:val="none" w:sz="0" w:space="0" w:color="auto"/>
            <w:right w:val="none" w:sz="0" w:space="0" w:color="auto"/>
          </w:divBdr>
        </w:div>
        <w:div w:id="1477184893">
          <w:marLeft w:val="0"/>
          <w:marRight w:val="0"/>
          <w:marTop w:val="0"/>
          <w:marBottom w:val="0"/>
          <w:divBdr>
            <w:top w:val="none" w:sz="0" w:space="0" w:color="auto"/>
            <w:left w:val="none" w:sz="0" w:space="0" w:color="auto"/>
            <w:bottom w:val="none" w:sz="0" w:space="0" w:color="auto"/>
            <w:right w:val="none" w:sz="0" w:space="0" w:color="auto"/>
          </w:divBdr>
        </w:div>
        <w:div w:id="1525291543">
          <w:marLeft w:val="0"/>
          <w:marRight w:val="0"/>
          <w:marTop w:val="0"/>
          <w:marBottom w:val="0"/>
          <w:divBdr>
            <w:top w:val="none" w:sz="0" w:space="0" w:color="auto"/>
            <w:left w:val="none" w:sz="0" w:space="0" w:color="auto"/>
            <w:bottom w:val="none" w:sz="0" w:space="0" w:color="auto"/>
            <w:right w:val="none" w:sz="0" w:space="0" w:color="auto"/>
          </w:divBdr>
        </w:div>
        <w:div w:id="1557087444">
          <w:marLeft w:val="0"/>
          <w:marRight w:val="0"/>
          <w:marTop w:val="0"/>
          <w:marBottom w:val="0"/>
          <w:divBdr>
            <w:top w:val="none" w:sz="0" w:space="0" w:color="auto"/>
            <w:left w:val="none" w:sz="0" w:space="0" w:color="auto"/>
            <w:bottom w:val="none" w:sz="0" w:space="0" w:color="auto"/>
            <w:right w:val="none" w:sz="0" w:space="0" w:color="auto"/>
          </w:divBdr>
        </w:div>
        <w:div w:id="1902985619">
          <w:marLeft w:val="0"/>
          <w:marRight w:val="0"/>
          <w:marTop w:val="0"/>
          <w:marBottom w:val="0"/>
          <w:divBdr>
            <w:top w:val="none" w:sz="0" w:space="0" w:color="auto"/>
            <w:left w:val="none" w:sz="0" w:space="0" w:color="auto"/>
            <w:bottom w:val="none" w:sz="0" w:space="0" w:color="auto"/>
            <w:right w:val="none" w:sz="0" w:space="0" w:color="auto"/>
          </w:divBdr>
        </w:div>
        <w:div w:id="2005861682">
          <w:marLeft w:val="0"/>
          <w:marRight w:val="0"/>
          <w:marTop w:val="0"/>
          <w:marBottom w:val="0"/>
          <w:divBdr>
            <w:top w:val="none" w:sz="0" w:space="0" w:color="auto"/>
            <w:left w:val="none" w:sz="0" w:space="0" w:color="auto"/>
            <w:bottom w:val="none" w:sz="0" w:space="0" w:color="auto"/>
            <w:right w:val="none" w:sz="0" w:space="0" w:color="auto"/>
          </w:divBdr>
        </w:div>
        <w:div w:id="2055881061">
          <w:marLeft w:val="0"/>
          <w:marRight w:val="0"/>
          <w:marTop w:val="0"/>
          <w:marBottom w:val="0"/>
          <w:divBdr>
            <w:top w:val="none" w:sz="0" w:space="0" w:color="auto"/>
            <w:left w:val="none" w:sz="0" w:space="0" w:color="auto"/>
            <w:bottom w:val="none" w:sz="0" w:space="0" w:color="auto"/>
            <w:right w:val="none" w:sz="0" w:space="0" w:color="auto"/>
          </w:divBdr>
        </w:div>
        <w:div w:id="2070028548">
          <w:marLeft w:val="0"/>
          <w:marRight w:val="0"/>
          <w:marTop w:val="0"/>
          <w:marBottom w:val="0"/>
          <w:divBdr>
            <w:top w:val="none" w:sz="0" w:space="0" w:color="auto"/>
            <w:left w:val="none" w:sz="0" w:space="0" w:color="auto"/>
            <w:bottom w:val="none" w:sz="0" w:space="0" w:color="auto"/>
            <w:right w:val="none" w:sz="0" w:space="0" w:color="auto"/>
          </w:divBdr>
        </w:div>
      </w:divsChild>
    </w:div>
    <w:div w:id="208693296">
      <w:bodyDiv w:val="1"/>
      <w:marLeft w:val="0"/>
      <w:marRight w:val="0"/>
      <w:marTop w:val="0"/>
      <w:marBottom w:val="0"/>
      <w:divBdr>
        <w:top w:val="none" w:sz="0" w:space="0" w:color="auto"/>
        <w:left w:val="none" w:sz="0" w:space="0" w:color="auto"/>
        <w:bottom w:val="none" w:sz="0" w:space="0" w:color="auto"/>
        <w:right w:val="none" w:sz="0" w:space="0" w:color="auto"/>
      </w:divBdr>
    </w:div>
    <w:div w:id="245963122">
      <w:bodyDiv w:val="1"/>
      <w:marLeft w:val="0"/>
      <w:marRight w:val="0"/>
      <w:marTop w:val="0"/>
      <w:marBottom w:val="0"/>
      <w:divBdr>
        <w:top w:val="none" w:sz="0" w:space="0" w:color="auto"/>
        <w:left w:val="none" w:sz="0" w:space="0" w:color="auto"/>
        <w:bottom w:val="none" w:sz="0" w:space="0" w:color="auto"/>
        <w:right w:val="none" w:sz="0" w:space="0" w:color="auto"/>
      </w:divBdr>
    </w:div>
    <w:div w:id="267741871">
      <w:bodyDiv w:val="1"/>
      <w:marLeft w:val="0"/>
      <w:marRight w:val="0"/>
      <w:marTop w:val="0"/>
      <w:marBottom w:val="0"/>
      <w:divBdr>
        <w:top w:val="none" w:sz="0" w:space="0" w:color="auto"/>
        <w:left w:val="none" w:sz="0" w:space="0" w:color="auto"/>
        <w:bottom w:val="none" w:sz="0" w:space="0" w:color="auto"/>
        <w:right w:val="none" w:sz="0" w:space="0" w:color="auto"/>
      </w:divBdr>
    </w:div>
    <w:div w:id="271715416">
      <w:bodyDiv w:val="1"/>
      <w:marLeft w:val="0"/>
      <w:marRight w:val="0"/>
      <w:marTop w:val="0"/>
      <w:marBottom w:val="0"/>
      <w:divBdr>
        <w:top w:val="none" w:sz="0" w:space="0" w:color="auto"/>
        <w:left w:val="none" w:sz="0" w:space="0" w:color="auto"/>
        <w:bottom w:val="none" w:sz="0" w:space="0" w:color="auto"/>
        <w:right w:val="none" w:sz="0" w:space="0" w:color="auto"/>
      </w:divBdr>
    </w:div>
    <w:div w:id="427431305">
      <w:bodyDiv w:val="1"/>
      <w:marLeft w:val="0"/>
      <w:marRight w:val="0"/>
      <w:marTop w:val="0"/>
      <w:marBottom w:val="0"/>
      <w:divBdr>
        <w:top w:val="none" w:sz="0" w:space="0" w:color="auto"/>
        <w:left w:val="none" w:sz="0" w:space="0" w:color="auto"/>
        <w:bottom w:val="none" w:sz="0" w:space="0" w:color="auto"/>
        <w:right w:val="none" w:sz="0" w:space="0" w:color="auto"/>
      </w:divBdr>
    </w:div>
    <w:div w:id="563026055">
      <w:bodyDiv w:val="1"/>
      <w:marLeft w:val="0"/>
      <w:marRight w:val="0"/>
      <w:marTop w:val="0"/>
      <w:marBottom w:val="0"/>
      <w:divBdr>
        <w:top w:val="none" w:sz="0" w:space="0" w:color="auto"/>
        <w:left w:val="none" w:sz="0" w:space="0" w:color="auto"/>
        <w:bottom w:val="none" w:sz="0" w:space="0" w:color="auto"/>
        <w:right w:val="none" w:sz="0" w:space="0" w:color="auto"/>
      </w:divBdr>
    </w:div>
    <w:div w:id="723870071">
      <w:bodyDiv w:val="1"/>
      <w:marLeft w:val="0"/>
      <w:marRight w:val="0"/>
      <w:marTop w:val="0"/>
      <w:marBottom w:val="0"/>
      <w:divBdr>
        <w:top w:val="none" w:sz="0" w:space="0" w:color="auto"/>
        <w:left w:val="none" w:sz="0" w:space="0" w:color="auto"/>
        <w:bottom w:val="none" w:sz="0" w:space="0" w:color="auto"/>
        <w:right w:val="none" w:sz="0" w:space="0" w:color="auto"/>
      </w:divBdr>
      <w:divsChild>
        <w:div w:id="993991893">
          <w:marLeft w:val="187"/>
          <w:marRight w:val="0"/>
          <w:marTop w:val="0"/>
          <w:marBottom w:val="0"/>
          <w:divBdr>
            <w:top w:val="none" w:sz="0" w:space="0" w:color="auto"/>
            <w:left w:val="none" w:sz="0" w:space="0" w:color="auto"/>
            <w:bottom w:val="none" w:sz="0" w:space="0" w:color="auto"/>
            <w:right w:val="none" w:sz="0" w:space="0" w:color="auto"/>
          </w:divBdr>
        </w:div>
      </w:divsChild>
    </w:div>
    <w:div w:id="877551170">
      <w:bodyDiv w:val="1"/>
      <w:marLeft w:val="0"/>
      <w:marRight w:val="0"/>
      <w:marTop w:val="0"/>
      <w:marBottom w:val="0"/>
      <w:divBdr>
        <w:top w:val="none" w:sz="0" w:space="0" w:color="auto"/>
        <w:left w:val="none" w:sz="0" w:space="0" w:color="auto"/>
        <w:bottom w:val="none" w:sz="0" w:space="0" w:color="auto"/>
        <w:right w:val="none" w:sz="0" w:space="0" w:color="auto"/>
      </w:divBdr>
    </w:div>
    <w:div w:id="933705245">
      <w:bodyDiv w:val="1"/>
      <w:marLeft w:val="0"/>
      <w:marRight w:val="0"/>
      <w:marTop w:val="0"/>
      <w:marBottom w:val="0"/>
      <w:divBdr>
        <w:top w:val="none" w:sz="0" w:space="0" w:color="auto"/>
        <w:left w:val="none" w:sz="0" w:space="0" w:color="auto"/>
        <w:bottom w:val="none" w:sz="0" w:space="0" w:color="auto"/>
        <w:right w:val="none" w:sz="0" w:space="0" w:color="auto"/>
      </w:divBdr>
      <w:divsChild>
        <w:div w:id="1218665670">
          <w:marLeft w:val="0"/>
          <w:marRight w:val="0"/>
          <w:marTop w:val="0"/>
          <w:marBottom w:val="0"/>
          <w:divBdr>
            <w:top w:val="none" w:sz="0" w:space="0" w:color="auto"/>
            <w:left w:val="none" w:sz="0" w:space="0" w:color="auto"/>
            <w:bottom w:val="none" w:sz="0" w:space="0" w:color="auto"/>
            <w:right w:val="none" w:sz="0" w:space="0" w:color="auto"/>
          </w:divBdr>
          <w:divsChild>
            <w:div w:id="732773562">
              <w:marLeft w:val="0"/>
              <w:marRight w:val="0"/>
              <w:marTop w:val="0"/>
              <w:marBottom w:val="0"/>
              <w:divBdr>
                <w:top w:val="none" w:sz="0" w:space="0" w:color="auto"/>
                <w:left w:val="none" w:sz="0" w:space="0" w:color="auto"/>
                <w:bottom w:val="none" w:sz="0" w:space="0" w:color="auto"/>
                <w:right w:val="none" w:sz="0" w:space="0" w:color="auto"/>
              </w:divBdr>
              <w:divsChild>
                <w:div w:id="1303001854">
                  <w:marLeft w:val="0"/>
                  <w:marRight w:val="0"/>
                  <w:marTop w:val="0"/>
                  <w:marBottom w:val="0"/>
                  <w:divBdr>
                    <w:top w:val="none" w:sz="0" w:space="0" w:color="auto"/>
                    <w:left w:val="none" w:sz="0" w:space="0" w:color="auto"/>
                    <w:bottom w:val="none" w:sz="0" w:space="0" w:color="auto"/>
                    <w:right w:val="none" w:sz="0" w:space="0" w:color="auto"/>
                  </w:divBdr>
                  <w:divsChild>
                    <w:div w:id="1309895319">
                      <w:marLeft w:val="0"/>
                      <w:marRight w:val="0"/>
                      <w:marTop w:val="0"/>
                      <w:marBottom w:val="0"/>
                      <w:divBdr>
                        <w:top w:val="none" w:sz="0" w:space="0" w:color="auto"/>
                        <w:left w:val="none" w:sz="0" w:space="0" w:color="auto"/>
                        <w:bottom w:val="none" w:sz="0" w:space="0" w:color="auto"/>
                        <w:right w:val="none" w:sz="0" w:space="0" w:color="auto"/>
                      </w:divBdr>
                      <w:divsChild>
                        <w:div w:id="1642463701">
                          <w:marLeft w:val="0"/>
                          <w:marRight w:val="0"/>
                          <w:marTop w:val="0"/>
                          <w:marBottom w:val="0"/>
                          <w:divBdr>
                            <w:top w:val="none" w:sz="0" w:space="0" w:color="auto"/>
                            <w:left w:val="none" w:sz="0" w:space="0" w:color="auto"/>
                            <w:bottom w:val="none" w:sz="0" w:space="0" w:color="auto"/>
                            <w:right w:val="none" w:sz="0" w:space="0" w:color="auto"/>
                          </w:divBdr>
                          <w:divsChild>
                            <w:div w:id="1983535840">
                              <w:marLeft w:val="0"/>
                              <w:marRight w:val="0"/>
                              <w:marTop w:val="0"/>
                              <w:marBottom w:val="0"/>
                              <w:divBdr>
                                <w:top w:val="none" w:sz="0" w:space="0" w:color="auto"/>
                                <w:left w:val="none" w:sz="0" w:space="0" w:color="auto"/>
                                <w:bottom w:val="none" w:sz="0" w:space="0" w:color="auto"/>
                                <w:right w:val="none" w:sz="0" w:space="0" w:color="auto"/>
                              </w:divBdr>
                              <w:divsChild>
                                <w:div w:id="946275995">
                                  <w:marLeft w:val="0"/>
                                  <w:marRight w:val="0"/>
                                  <w:marTop w:val="0"/>
                                  <w:marBottom w:val="0"/>
                                  <w:divBdr>
                                    <w:top w:val="none" w:sz="0" w:space="0" w:color="auto"/>
                                    <w:left w:val="none" w:sz="0" w:space="0" w:color="auto"/>
                                    <w:bottom w:val="none" w:sz="0" w:space="0" w:color="auto"/>
                                    <w:right w:val="none" w:sz="0" w:space="0" w:color="auto"/>
                                  </w:divBdr>
                                  <w:divsChild>
                                    <w:div w:id="519244332">
                                      <w:marLeft w:val="0"/>
                                      <w:marRight w:val="0"/>
                                      <w:marTop w:val="0"/>
                                      <w:marBottom w:val="0"/>
                                      <w:divBdr>
                                        <w:top w:val="none" w:sz="0" w:space="0" w:color="auto"/>
                                        <w:left w:val="none" w:sz="0" w:space="0" w:color="auto"/>
                                        <w:bottom w:val="none" w:sz="0" w:space="0" w:color="auto"/>
                                        <w:right w:val="none" w:sz="0" w:space="0" w:color="auto"/>
                                      </w:divBdr>
                                      <w:divsChild>
                                        <w:div w:id="1910143192">
                                          <w:marLeft w:val="0"/>
                                          <w:marRight w:val="0"/>
                                          <w:marTop w:val="0"/>
                                          <w:marBottom w:val="0"/>
                                          <w:divBdr>
                                            <w:top w:val="none" w:sz="0" w:space="0" w:color="auto"/>
                                            <w:left w:val="none" w:sz="0" w:space="0" w:color="auto"/>
                                            <w:bottom w:val="none" w:sz="0" w:space="0" w:color="auto"/>
                                            <w:right w:val="none" w:sz="0" w:space="0" w:color="auto"/>
                                          </w:divBdr>
                                          <w:divsChild>
                                            <w:div w:id="1088773239">
                                              <w:marLeft w:val="0"/>
                                              <w:marRight w:val="0"/>
                                              <w:marTop w:val="0"/>
                                              <w:marBottom w:val="0"/>
                                              <w:divBdr>
                                                <w:top w:val="none" w:sz="0" w:space="0" w:color="auto"/>
                                                <w:left w:val="none" w:sz="0" w:space="0" w:color="auto"/>
                                                <w:bottom w:val="none" w:sz="0" w:space="0" w:color="auto"/>
                                                <w:right w:val="none" w:sz="0" w:space="0" w:color="auto"/>
                                              </w:divBdr>
                                              <w:divsChild>
                                                <w:div w:id="858272570">
                                                  <w:marLeft w:val="0"/>
                                                  <w:marRight w:val="0"/>
                                                  <w:marTop w:val="0"/>
                                                  <w:marBottom w:val="0"/>
                                                  <w:divBdr>
                                                    <w:top w:val="none" w:sz="0" w:space="0" w:color="auto"/>
                                                    <w:left w:val="none" w:sz="0" w:space="0" w:color="auto"/>
                                                    <w:bottom w:val="none" w:sz="0" w:space="0" w:color="auto"/>
                                                    <w:right w:val="none" w:sz="0" w:space="0" w:color="auto"/>
                                                  </w:divBdr>
                                                  <w:divsChild>
                                                    <w:div w:id="93524654">
                                                      <w:marLeft w:val="0"/>
                                                      <w:marRight w:val="0"/>
                                                      <w:marTop w:val="0"/>
                                                      <w:marBottom w:val="0"/>
                                                      <w:divBdr>
                                                        <w:top w:val="none" w:sz="0" w:space="0" w:color="auto"/>
                                                        <w:left w:val="none" w:sz="0" w:space="0" w:color="auto"/>
                                                        <w:bottom w:val="none" w:sz="0" w:space="0" w:color="auto"/>
                                                        <w:right w:val="none" w:sz="0" w:space="0" w:color="auto"/>
                                                      </w:divBdr>
                                                      <w:divsChild>
                                                        <w:div w:id="1408531655">
                                                          <w:marLeft w:val="0"/>
                                                          <w:marRight w:val="0"/>
                                                          <w:marTop w:val="0"/>
                                                          <w:marBottom w:val="0"/>
                                                          <w:divBdr>
                                                            <w:top w:val="none" w:sz="0" w:space="0" w:color="auto"/>
                                                            <w:left w:val="none" w:sz="0" w:space="0" w:color="auto"/>
                                                            <w:bottom w:val="none" w:sz="0" w:space="0" w:color="auto"/>
                                                            <w:right w:val="none" w:sz="0" w:space="0" w:color="auto"/>
                                                          </w:divBdr>
                                                          <w:divsChild>
                                                            <w:div w:id="214519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8401870">
      <w:bodyDiv w:val="1"/>
      <w:marLeft w:val="0"/>
      <w:marRight w:val="0"/>
      <w:marTop w:val="0"/>
      <w:marBottom w:val="0"/>
      <w:divBdr>
        <w:top w:val="none" w:sz="0" w:space="0" w:color="auto"/>
        <w:left w:val="none" w:sz="0" w:space="0" w:color="auto"/>
        <w:bottom w:val="none" w:sz="0" w:space="0" w:color="auto"/>
        <w:right w:val="none" w:sz="0" w:space="0" w:color="auto"/>
      </w:divBdr>
    </w:div>
    <w:div w:id="1159267210">
      <w:bodyDiv w:val="1"/>
      <w:marLeft w:val="0"/>
      <w:marRight w:val="0"/>
      <w:marTop w:val="0"/>
      <w:marBottom w:val="0"/>
      <w:divBdr>
        <w:top w:val="none" w:sz="0" w:space="0" w:color="auto"/>
        <w:left w:val="none" w:sz="0" w:space="0" w:color="auto"/>
        <w:bottom w:val="none" w:sz="0" w:space="0" w:color="auto"/>
        <w:right w:val="none" w:sz="0" w:space="0" w:color="auto"/>
      </w:divBdr>
      <w:divsChild>
        <w:div w:id="82148518">
          <w:marLeft w:val="547"/>
          <w:marRight w:val="0"/>
          <w:marTop w:val="0"/>
          <w:marBottom w:val="0"/>
          <w:divBdr>
            <w:top w:val="none" w:sz="0" w:space="0" w:color="auto"/>
            <w:left w:val="none" w:sz="0" w:space="0" w:color="auto"/>
            <w:bottom w:val="none" w:sz="0" w:space="0" w:color="auto"/>
            <w:right w:val="none" w:sz="0" w:space="0" w:color="auto"/>
          </w:divBdr>
        </w:div>
        <w:div w:id="742260840">
          <w:marLeft w:val="547"/>
          <w:marRight w:val="0"/>
          <w:marTop w:val="0"/>
          <w:marBottom w:val="0"/>
          <w:divBdr>
            <w:top w:val="none" w:sz="0" w:space="0" w:color="auto"/>
            <w:left w:val="none" w:sz="0" w:space="0" w:color="auto"/>
            <w:bottom w:val="none" w:sz="0" w:space="0" w:color="auto"/>
            <w:right w:val="none" w:sz="0" w:space="0" w:color="auto"/>
          </w:divBdr>
        </w:div>
        <w:div w:id="1156990627">
          <w:marLeft w:val="547"/>
          <w:marRight w:val="0"/>
          <w:marTop w:val="0"/>
          <w:marBottom w:val="0"/>
          <w:divBdr>
            <w:top w:val="none" w:sz="0" w:space="0" w:color="auto"/>
            <w:left w:val="none" w:sz="0" w:space="0" w:color="auto"/>
            <w:bottom w:val="none" w:sz="0" w:space="0" w:color="auto"/>
            <w:right w:val="none" w:sz="0" w:space="0" w:color="auto"/>
          </w:divBdr>
        </w:div>
        <w:div w:id="1152408839">
          <w:marLeft w:val="547"/>
          <w:marRight w:val="0"/>
          <w:marTop w:val="0"/>
          <w:marBottom w:val="0"/>
          <w:divBdr>
            <w:top w:val="none" w:sz="0" w:space="0" w:color="auto"/>
            <w:left w:val="none" w:sz="0" w:space="0" w:color="auto"/>
            <w:bottom w:val="none" w:sz="0" w:space="0" w:color="auto"/>
            <w:right w:val="none" w:sz="0" w:space="0" w:color="auto"/>
          </w:divBdr>
        </w:div>
        <w:div w:id="1084566309">
          <w:marLeft w:val="547"/>
          <w:marRight w:val="0"/>
          <w:marTop w:val="0"/>
          <w:marBottom w:val="0"/>
          <w:divBdr>
            <w:top w:val="none" w:sz="0" w:space="0" w:color="auto"/>
            <w:left w:val="none" w:sz="0" w:space="0" w:color="auto"/>
            <w:bottom w:val="none" w:sz="0" w:space="0" w:color="auto"/>
            <w:right w:val="none" w:sz="0" w:space="0" w:color="auto"/>
          </w:divBdr>
        </w:div>
      </w:divsChild>
    </w:div>
    <w:div w:id="1231185843">
      <w:bodyDiv w:val="1"/>
      <w:marLeft w:val="0"/>
      <w:marRight w:val="0"/>
      <w:marTop w:val="0"/>
      <w:marBottom w:val="0"/>
      <w:divBdr>
        <w:top w:val="none" w:sz="0" w:space="0" w:color="auto"/>
        <w:left w:val="none" w:sz="0" w:space="0" w:color="auto"/>
        <w:bottom w:val="none" w:sz="0" w:space="0" w:color="auto"/>
        <w:right w:val="none" w:sz="0" w:space="0" w:color="auto"/>
      </w:divBdr>
    </w:div>
    <w:div w:id="1235047430">
      <w:bodyDiv w:val="1"/>
      <w:marLeft w:val="0"/>
      <w:marRight w:val="0"/>
      <w:marTop w:val="0"/>
      <w:marBottom w:val="0"/>
      <w:divBdr>
        <w:top w:val="none" w:sz="0" w:space="0" w:color="auto"/>
        <w:left w:val="none" w:sz="0" w:space="0" w:color="auto"/>
        <w:bottom w:val="none" w:sz="0" w:space="0" w:color="auto"/>
        <w:right w:val="none" w:sz="0" w:space="0" w:color="auto"/>
      </w:divBdr>
    </w:div>
    <w:div w:id="1249313804">
      <w:bodyDiv w:val="1"/>
      <w:marLeft w:val="0"/>
      <w:marRight w:val="0"/>
      <w:marTop w:val="0"/>
      <w:marBottom w:val="0"/>
      <w:divBdr>
        <w:top w:val="none" w:sz="0" w:space="0" w:color="auto"/>
        <w:left w:val="none" w:sz="0" w:space="0" w:color="auto"/>
        <w:bottom w:val="none" w:sz="0" w:space="0" w:color="auto"/>
        <w:right w:val="none" w:sz="0" w:space="0" w:color="auto"/>
      </w:divBdr>
    </w:div>
    <w:div w:id="1276401375">
      <w:bodyDiv w:val="1"/>
      <w:marLeft w:val="0"/>
      <w:marRight w:val="0"/>
      <w:marTop w:val="0"/>
      <w:marBottom w:val="0"/>
      <w:divBdr>
        <w:top w:val="none" w:sz="0" w:space="0" w:color="auto"/>
        <w:left w:val="none" w:sz="0" w:space="0" w:color="auto"/>
        <w:bottom w:val="none" w:sz="0" w:space="0" w:color="auto"/>
        <w:right w:val="none" w:sz="0" w:space="0" w:color="auto"/>
      </w:divBdr>
    </w:div>
    <w:div w:id="1299068244">
      <w:bodyDiv w:val="1"/>
      <w:marLeft w:val="0"/>
      <w:marRight w:val="0"/>
      <w:marTop w:val="0"/>
      <w:marBottom w:val="0"/>
      <w:divBdr>
        <w:top w:val="none" w:sz="0" w:space="0" w:color="auto"/>
        <w:left w:val="none" w:sz="0" w:space="0" w:color="auto"/>
        <w:bottom w:val="none" w:sz="0" w:space="0" w:color="auto"/>
        <w:right w:val="none" w:sz="0" w:space="0" w:color="auto"/>
      </w:divBdr>
    </w:div>
    <w:div w:id="1308702005">
      <w:bodyDiv w:val="1"/>
      <w:marLeft w:val="0"/>
      <w:marRight w:val="0"/>
      <w:marTop w:val="0"/>
      <w:marBottom w:val="0"/>
      <w:divBdr>
        <w:top w:val="none" w:sz="0" w:space="0" w:color="auto"/>
        <w:left w:val="none" w:sz="0" w:space="0" w:color="auto"/>
        <w:bottom w:val="none" w:sz="0" w:space="0" w:color="auto"/>
        <w:right w:val="none" w:sz="0" w:space="0" w:color="auto"/>
      </w:divBdr>
    </w:div>
    <w:div w:id="1552113942">
      <w:bodyDiv w:val="1"/>
      <w:marLeft w:val="0"/>
      <w:marRight w:val="0"/>
      <w:marTop w:val="0"/>
      <w:marBottom w:val="0"/>
      <w:divBdr>
        <w:top w:val="none" w:sz="0" w:space="0" w:color="auto"/>
        <w:left w:val="none" w:sz="0" w:space="0" w:color="auto"/>
        <w:bottom w:val="none" w:sz="0" w:space="0" w:color="auto"/>
        <w:right w:val="none" w:sz="0" w:space="0" w:color="auto"/>
      </w:divBdr>
      <w:divsChild>
        <w:div w:id="761686396">
          <w:marLeft w:val="0"/>
          <w:marRight w:val="0"/>
          <w:marTop w:val="0"/>
          <w:marBottom w:val="0"/>
          <w:divBdr>
            <w:top w:val="none" w:sz="0" w:space="0" w:color="auto"/>
            <w:left w:val="none" w:sz="0" w:space="0" w:color="auto"/>
            <w:bottom w:val="none" w:sz="0" w:space="0" w:color="auto"/>
            <w:right w:val="none" w:sz="0" w:space="0" w:color="auto"/>
          </w:divBdr>
        </w:div>
        <w:div w:id="1801655459">
          <w:marLeft w:val="0"/>
          <w:marRight w:val="0"/>
          <w:marTop w:val="0"/>
          <w:marBottom w:val="0"/>
          <w:divBdr>
            <w:top w:val="none" w:sz="0" w:space="0" w:color="auto"/>
            <w:left w:val="none" w:sz="0" w:space="0" w:color="auto"/>
            <w:bottom w:val="none" w:sz="0" w:space="0" w:color="auto"/>
            <w:right w:val="none" w:sz="0" w:space="0" w:color="auto"/>
          </w:divBdr>
        </w:div>
        <w:div w:id="1866017240">
          <w:marLeft w:val="0"/>
          <w:marRight w:val="0"/>
          <w:marTop w:val="0"/>
          <w:marBottom w:val="0"/>
          <w:divBdr>
            <w:top w:val="none" w:sz="0" w:space="0" w:color="auto"/>
            <w:left w:val="none" w:sz="0" w:space="0" w:color="auto"/>
            <w:bottom w:val="none" w:sz="0" w:space="0" w:color="auto"/>
            <w:right w:val="none" w:sz="0" w:space="0" w:color="auto"/>
          </w:divBdr>
        </w:div>
      </w:divsChild>
    </w:div>
    <w:div w:id="1621450729">
      <w:bodyDiv w:val="1"/>
      <w:marLeft w:val="0"/>
      <w:marRight w:val="0"/>
      <w:marTop w:val="0"/>
      <w:marBottom w:val="0"/>
      <w:divBdr>
        <w:top w:val="none" w:sz="0" w:space="0" w:color="auto"/>
        <w:left w:val="none" w:sz="0" w:space="0" w:color="auto"/>
        <w:bottom w:val="none" w:sz="0" w:space="0" w:color="auto"/>
        <w:right w:val="none" w:sz="0" w:space="0" w:color="auto"/>
      </w:divBdr>
    </w:div>
    <w:div w:id="1635021686">
      <w:bodyDiv w:val="1"/>
      <w:marLeft w:val="0"/>
      <w:marRight w:val="0"/>
      <w:marTop w:val="0"/>
      <w:marBottom w:val="0"/>
      <w:divBdr>
        <w:top w:val="none" w:sz="0" w:space="0" w:color="auto"/>
        <w:left w:val="none" w:sz="0" w:space="0" w:color="auto"/>
        <w:bottom w:val="none" w:sz="0" w:space="0" w:color="auto"/>
        <w:right w:val="none" w:sz="0" w:space="0" w:color="auto"/>
      </w:divBdr>
    </w:div>
    <w:div w:id="1650088537">
      <w:bodyDiv w:val="1"/>
      <w:marLeft w:val="0"/>
      <w:marRight w:val="0"/>
      <w:marTop w:val="0"/>
      <w:marBottom w:val="0"/>
      <w:divBdr>
        <w:top w:val="none" w:sz="0" w:space="0" w:color="auto"/>
        <w:left w:val="none" w:sz="0" w:space="0" w:color="auto"/>
        <w:bottom w:val="none" w:sz="0" w:space="0" w:color="auto"/>
        <w:right w:val="none" w:sz="0" w:space="0" w:color="auto"/>
      </w:divBdr>
    </w:div>
    <w:div w:id="1730959884">
      <w:bodyDiv w:val="1"/>
      <w:marLeft w:val="0"/>
      <w:marRight w:val="0"/>
      <w:marTop w:val="0"/>
      <w:marBottom w:val="0"/>
      <w:divBdr>
        <w:top w:val="none" w:sz="0" w:space="0" w:color="auto"/>
        <w:left w:val="none" w:sz="0" w:space="0" w:color="auto"/>
        <w:bottom w:val="none" w:sz="0" w:space="0" w:color="auto"/>
        <w:right w:val="none" w:sz="0" w:space="0" w:color="auto"/>
      </w:divBdr>
    </w:div>
    <w:div w:id="1777171370">
      <w:bodyDiv w:val="1"/>
      <w:marLeft w:val="0"/>
      <w:marRight w:val="0"/>
      <w:marTop w:val="0"/>
      <w:marBottom w:val="0"/>
      <w:divBdr>
        <w:top w:val="none" w:sz="0" w:space="0" w:color="auto"/>
        <w:left w:val="none" w:sz="0" w:space="0" w:color="auto"/>
        <w:bottom w:val="none" w:sz="0" w:space="0" w:color="auto"/>
        <w:right w:val="none" w:sz="0" w:space="0" w:color="auto"/>
      </w:divBdr>
    </w:div>
    <w:div w:id="185213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4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60.xml"/><Relationship Id="rId5" Type="http://schemas.openxmlformats.org/officeDocument/2006/relationships/settings" Target="settings.xml"/><Relationship Id="rId15" Type="http://schemas.openxmlformats.org/officeDocument/2006/relationships/chart" Target="charts/chart20.xml"/><Relationship Id="rId23" Type="http://schemas.openxmlformats.org/officeDocument/2006/relationships/chart" Target="charts/chart50.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30.xml"/><Relationship Id="rId4" Type="http://schemas.openxmlformats.org/officeDocument/2006/relationships/image" Target="media/image1.gif"/><Relationship Id="rId9" Type="http://schemas.openxmlformats.org/officeDocument/2006/relationships/image" Target="media/image2.jpeg"/><Relationship Id="rId14" Type="http://schemas.openxmlformats.org/officeDocument/2006/relationships/chart" Target="charts/chart10.xml"/><Relationship Id="rId22" Type="http://schemas.openxmlformats.org/officeDocument/2006/relationships/chart" Target="charts/chart6.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0.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0.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0.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Microsoft_Excel_Worksheet40.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package" Target="../embeddings/Microsoft_Excel_Worksheet50.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BentonSans Regular" panose="02000503040000020004" pitchFamily="50" charset="0"/>
                <a:ea typeface="+mn-ea"/>
                <a:cs typeface="+mn-cs"/>
              </a:defRPr>
            </a:pPr>
            <a:r>
              <a:rPr lang="en-US" sz="900" b="1"/>
              <a:t>New Loans</a:t>
            </a:r>
          </a:p>
        </c:rich>
      </c:tx>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BentonSans Regular" panose="02000503040000020004" pitchFamily="50" charset="0"/>
              <a:ea typeface="+mn-ea"/>
              <a:cs typeface="+mn-cs"/>
            </a:defRPr>
          </a:pPr>
          <a:endParaRPr lang="en-US"/>
        </a:p>
      </c:txPr>
    </c:title>
    <c:autoTitleDeleted val="0"/>
    <c:plotArea>
      <c:layout>
        <c:manualLayout>
          <c:layoutTarget val="inner"/>
          <c:xMode val="edge"/>
          <c:yMode val="edge"/>
          <c:x val="0.18485035786908888"/>
          <c:y val="0.13058434622960269"/>
          <c:w val="0.64386014888070731"/>
          <c:h val="0.6622731591721166"/>
        </c:manualLayout>
      </c:layout>
      <c:barChart>
        <c:barDir val="col"/>
        <c:grouping val="clustered"/>
        <c:varyColors val="0"/>
        <c:ser>
          <c:idx val="0"/>
          <c:order val="0"/>
          <c:tx>
            <c:strRef>
              <c:f>Sheet2!$A$23</c:f>
              <c:strCache>
                <c:ptCount val="1"/>
                <c:pt idx="0">
                  <c:v>New Loans (LA)</c:v>
                </c:pt>
              </c:strCache>
            </c:strRef>
          </c:tx>
          <c:spPr>
            <a:solidFill>
              <a:srgbClr val="F79646">
                <a:lumMod val="60000"/>
                <a:lumOff val="40000"/>
              </a:srgbClr>
            </a:solidFill>
            <a:ln>
              <a:noFill/>
            </a:ln>
            <a:effectLst/>
          </c:spPr>
          <c:invertIfNegative val="0"/>
          <c:dLbls>
            <c:dLbl>
              <c:idx val="3"/>
              <c:layout>
                <c:manualLayout>
                  <c:x val="-1.0185067526415994E-16"/>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CC-421A-8B7E-325F3AEE8742}"/>
                </c:ext>
              </c:extLst>
            </c:dLbl>
            <c:dLbl>
              <c:idx val="4"/>
              <c:layout>
                <c:manualLayout>
                  <c:x val="-1.1850617648903185E-2"/>
                  <c:y val="-7.3275780286500333E-3"/>
                </c:manualLayout>
              </c:layout>
              <c:showLegendKey val="0"/>
              <c:showVal val="1"/>
              <c:showCatName val="0"/>
              <c:showSerName val="0"/>
              <c:showPercent val="0"/>
              <c:showBubbleSize val="0"/>
              <c:extLst>
                <c:ext xmlns:c15="http://schemas.microsoft.com/office/drawing/2012/chart" uri="{CE6537A1-D6FC-4f65-9D91-7224C49458BB}">
                  <c15:layout>
                    <c:manualLayout>
                      <c:w val="0.15099943565074844"/>
                      <c:h val="5.9781171931821774E-2"/>
                    </c:manualLayout>
                  </c15:layout>
                </c:ext>
                <c:ext xmlns:c16="http://schemas.microsoft.com/office/drawing/2014/chart" uri="{C3380CC4-5D6E-409C-BE32-E72D297353CC}">
                  <c16:uniqueId val="{00000001-63CC-421A-8B7E-325F3AEE8742}"/>
                </c:ext>
              </c:extLst>
            </c:dLbl>
            <c:spPr>
              <a:noFill/>
              <a:ln>
                <a:solidFill>
                  <a:schemeClr val="tx1"/>
                </a:solidFill>
              </a:ln>
              <a:effectLst/>
            </c:spPr>
            <c:txPr>
              <a:bodyPr rot="0" spcFirstLastPara="1" vertOverflow="ellipsis" vert="horz" wrap="square" anchor="ctr" anchorCtr="1"/>
              <a:lstStyle/>
              <a:p>
                <a:pPr>
                  <a:defRPr sz="700" b="0" i="0" u="none" strike="noStrike" kern="1200" baseline="0">
                    <a:solidFill>
                      <a:srgbClr val="C00000"/>
                    </a:solidFill>
                    <a:latin typeface="BentonSans Regular"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Sheet2!$B$22:$F$22</c:f>
              <c:strCache>
                <c:ptCount val="5"/>
                <c:pt idx="0">
                  <c:v>Q1 2015</c:v>
                </c:pt>
                <c:pt idx="1">
                  <c:v>Q1 2016</c:v>
                </c:pt>
                <c:pt idx="2">
                  <c:v>Q1 2017</c:v>
                </c:pt>
                <c:pt idx="3">
                  <c:v>Q1 2018</c:v>
                </c:pt>
                <c:pt idx="4">
                  <c:v>Q1 2019</c:v>
                </c:pt>
              </c:strCache>
            </c:strRef>
          </c:cat>
          <c:val>
            <c:numRef>
              <c:f>Sheet2!$B$23:$F$23</c:f>
              <c:numCache>
                <c:formatCode>0.0</c:formatCode>
                <c:ptCount val="5"/>
                <c:pt idx="0">
                  <c:v>178.08977743333332</c:v>
                </c:pt>
                <c:pt idx="1">
                  <c:v>199.46833100000001</c:v>
                </c:pt>
                <c:pt idx="2">
                  <c:v>213.74004249999999</c:v>
                </c:pt>
                <c:pt idx="3">
                  <c:v>197.90741791666667</c:v>
                </c:pt>
                <c:pt idx="4">
                  <c:v>247.25166130000002</c:v>
                </c:pt>
              </c:numCache>
            </c:numRef>
          </c:val>
          <c:extLst>
            <c:ext xmlns:c16="http://schemas.microsoft.com/office/drawing/2014/chart" uri="{C3380CC4-5D6E-409C-BE32-E72D297353CC}">
              <c16:uniqueId val="{00000002-63CC-421A-8B7E-325F3AEE8742}"/>
            </c:ext>
          </c:extLst>
        </c:ser>
        <c:dLbls>
          <c:showLegendKey val="0"/>
          <c:showVal val="1"/>
          <c:showCatName val="0"/>
          <c:showSerName val="0"/>
          <c:showPercent val="0"/>
          <c:showBubbleSize val="0"/>
        </c:dLbls>
        <c:gapWidth val="150"/>
        <c:axId val="327175424"/>
        <c:axId val="327172928"/>
      </c:barChart>
      <c:lineChart>
        <c:grouping val="standard"/>
        <c:varyColors val="0"/>
        <c:ser>
          <c:idx val="1"/>
          <c:order val="1"/>
          <c:tx>
            <c:strRef>
              <c:f>Sheet2!$A$24</c:f>
              <c:strCache>
                <c:ptCount val="1"/>
                <c:pt idx="0">
                  <c:v>Growth (RA)</c:v>
                </c:pt>
              </c:strCache>
            </c:strRef>
          </c:tx>
          <c:spPr>
            <a:ln w="28575" cap="rnd">
              <a:solidFill>
                <a:srgbClr val="1F497D"/>
              </a:solidFill>
              <a:round/>
            </a:ln>
            <a:effectLst/>
          </c:spPr>
          <c:marker>
            <c:symbol val="none"/>
          </c:marker>
          <c:dLbls>
            <c:dLbl>
              <c:idx val="0"/>
              <c:layout>
                <c:manualLayout>
                  <c:x val="-4.776399825021875E-2"/>
                  <c:y val="4.39468503937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CC-421A-8B7E-325F3AEE8742}"/>
                </c:ext>
              </c:extLst>
            </c:dLbl>
            <c:dLbl>
              <c:idx val="2"/>
              <c:layout>
                <c:manualLayout>
                  <c:x val="-4.4986220472440948E-2"/>
                  <c:y val="3.46875911344414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CC-421A-8B7E-325F3AEE8742}"/>
                </c:ext>
              </c:extLst>
            </c:dLbl>
            <c:dLbl>
              <c:idx val="3"/>
              <c:layout>
                <c:manualLayout>
                  <c:x val="-4.3256999125109365E-2"/>
                  <c:y val="1.15394429862932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CC-421A-8B7E-325F3AEE8742}"/>
                </c:ext>
              </c:extLst>
            </c:dLbl>
            <c:dLbl>
              <c:idx val="4"/>
              <c:layout>
                <c:manualLayout>
                  <c:x val="-3.7430508899698116E-2"/>
                  <c:y val="4.76283085096290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CC-421A-8B7E-325F3AEE874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entonSans Regular" panose="02000503040000020004"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Sheet2!$B$22:$F$22</c:f>
              <c:strCache>
                <c:ptCount val="5"/>
                <c:pt idx="0">
                  <c:v>Q1 2015</c:v>
                </c:pt>
                <c:pt idx="1">
                  <c:v>Q1 2016</c:v>
                </c:pt>
                <c:pt idx="2">
                  <c:v>Q1 2017</c:v>
                </c:pt>
                <c:pt idx="3">
                  <c:v>Q1 2018</c:v>
                </c:pt>
                <c:pt idx="4">
                  <c:v>Q1 2019</c:v>
                </c:pt>
              </c:strCache>
            </c:strRef>
          </c:cat>
          <c:val>
            <c:numRef>
              <c:f>Sheet2!$B$24:$F$24</c:f>
              <c:numCache>
                <c:formatCode>0.0</c:formatCode>
                <c:ptCount val="5"/>
                <c:pt idx="0">
                  <c:v>7.2777153494599567</c:v>
                </c:pt>
                <c:pt idx="1">
                  <c:v>12.004368737374381</c:v>
                </c:pt>
                <c:pt idx="2">
                  <c:v>7.1548758785172639</c:v>
                </c:pt>
                <c:pt idx="3">
                  <c:v>-7.4074209016465993</c:v>
                </c:pt>
                <c:pt idx="4">
                  <c:v>24.932993367692191</c:v>
                </c:pt>
              </c:numCache>
            </c:numRef>
          </c:val>
          <c:smooth val="1"/>
          <c:extLst>
            <c:ext xmlns:c16="http://schemas.microsoft.com/office/drawing/2014/chart" uri="{C3380CC4-5D6E-409C-BE32-E72D297353CC}">
              <c16:uniqueId val="{00000007-63CC-421A-8B7E-325F3AEE8742}"/>
            </c:ext>
          </c:extLst>
        </c:ser>
        <c:dLbls>
          <c:showLegendKey val="0"/>
          <c:showVal val="1"/>
          <c:showCatName val="0"/>
          <c:showSerName val="0"/>
          <c:showPercent val="0"/>
          <c:showBubbleSize val="0"/>
        </c:dLbls>
        <c:marker val="1"/>
        <c:smooth val="0"/>
        <c:axId val="327169184"/>
        <c:axId val="327170016"/>
      </c:lineChart>
      <c:catAx>
        <c:axId val="32717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BentonSans Regular" panose="02000503040000020004" pitchFamily="50" charset="0"/>
                <a:ea typeface="+mn-ea"/>
                <a:cs typeface="+mn-cs"/>
              </a:defRPr>
            </a:pPr>
            <a:endParaRPr lang="en-US"/>
          </a:p>
        </c:txPr>
        <c:crossAx val="327172928"/>
        <c:crosses val="autoZero"/>
        <c:auto val="1"/>
        <c:lblAlgn val="ctr"/>
        <c:lblOffset val="100"/>
        <c:noMultiLvlLbl val="0"/>
      </c:catAx>
      <c:valAx>
        <c:axId val="327172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BentonSans Regular" panose="02000503040000020004" pitchFamily="50" charset="0"/>
                    <a:ea typeface="+mn-ea"/>
                    <a:cs typeface="+mn-cs"/>
                  </a:defRPr>
                </a:pPr>
                <a:r>
                  <a:rPr lang="en-US" sz="900" b="1">
                    <a:solidFill>
                      <a:sysClr val="windowText" lastClr="000000"/>
                    </a:solidFill>
                  </a:rPr>
                  <a:t>FRW Billion</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BentonSans Regular" panose="02000503040000020004" pitchFamily="50"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entonSans Regular" panose="02000503040000020004" pitchFamily="50" charset="0"/>
                <a:ea typeface="+mn-ea"/>
                <a:cs typeface="+mn-cs"/>
              </a:defRPr>
            </a:pPr>
            <a:endParaRPr lang="en-US"/>
          </a:p>
        </c:txPr>
        <c:crossAx val="327175424"/>
        <c:crosses val="autoZero"/>
        <c:crossBetween val="between"/>
      </c:valAx>
      <c:valAx>
        <c:axId val="327170016"/>
        <c:scaling>
          <c:orientation val="minMax"/>
        </c:scaling>
        <c:delete val="0"/>
        <c:axPos val="r"/>
        <c:title>
          <c:tx>
            <c:rich>
              <a:bodyPr rot="-5400000" spcFirstLastPara="1" vertOverflow="ellipsis" vert="horz" wrap="square" anchor="ctr" anchorCtr="1"/>
              <a:lstStyle/>
              <a:p>
                <a:pPr>
                  <a:defRPr sz="900" b="1" i="0" u="none" strike="noStrike" kern="1200" baseline="0">
                    <a:solidFill>
                      <a:sysClr val="windowText" lastClr="000000"/>
                    </a:solidFill>
                    <a:latin typeface="BentonSans Regular" panose="02000503040000020004" pitchFamily="50" charset="0"/>
                    <a:ea typeface="+mn-ea"/>
                    <a:cs typeface="+mn-cs"/>
                  </a:defRPr>
                </a:pPr>
                <a:r>
                  <a:rPr lang="en-US" sz="900" b="1">
                    <a:solidFill>
                      <a:sysClr val="windowText" lastClr="000000"/>
                    </a:solidFill>
                  </a:rPr>
                  <a:t>Percent</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BentonSans Regular" panose="02000503040000020004" pitchFamily="50"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entonSans Regular" panose="02000503040000020004" pitchFamily="50" charset="0"/>
                <a:ea typeface="+mn-ea"/>
                <a:cs typeface="+mn-cs"/>
              </a:defRPr>
            </a:pPr>
            <a:endParaRPr lang="en-US"/>
          </a:p>
        </c:txPr>
        <c:crossAx val="327169184"/>
        <c:crosses val="max"/>
        <c:crossBetween val="between"/>
      </c:valAx>
      <c:catAx>
        <c:axId val="327169184"/>
        <c:scaling>
          <c:orientation val="minMax"/>
        </c:scaling>
        <c:delete val="1"/>
        <c:axPos val="b"/>
        <c:numFmt formatCode="General" sourceLinked="1"/>
        <c:majorTickMark val="none"/>
        <c:minorTickMark val="none"/>
        <c:tickLblPos val="nextTo"/>
        <c:crossAx val="3271700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BentonSans Regular" panose="02000503040000020004" pitchFamily="50" charset="0"/>
              <a:ea typeface="+mn-ea"/>
              <a:cs typeface="+mn-cs"/>
            </a:defRPr>
          </a:pPr>
          <a:endParaRPr lang="en-US"/>
        </a:p>
      </c:txPr>
    </c:legend>
    <c:plotVisOnly val="1"/>
    <c:dispBlanksAs val="gap"/>
    <c:showDLblsOverMax val="0"/>
  </c:chart>
  <c:spPr>
    <a:noFill/>
    <a:ln w="9525" cap="flat" cmpd="sng" algn="ctr">
      <a:solidFill>
        <a:sysClr val="windowText" lastClr="000000"/>
      </a:solidFill>
      <a:round/>
    </a:ln>
    <a:effectLst/>
  </c:spPr>
  <c:txPr>
    <a:bodyPr/>
    <a:lstStyle/>
    <a:p>
      <a:pPr>
        <a:defRPr sz="700">
          <a:solidFill>
            <a:sysClr val="windowText" lastClr="000000"/>
          </a:solidFill>
          <a:latin typeface="BentonSans Regular" panose="02000503040000020004" pitchFamily="50"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BentonSans Regular" panose="02000503040000020004" pitchFamily="50" charset="0"/>
                <a:ea typeface="+mn-ea"/>
                <a:cs typeface="+mn-cs"/>
              </a:defRPr>
            </a:pPr>
            <a:r>
              <a:rPr lang="en-US" sz="900" b="1"/>
              <a:t>New Loans</a:t>
            </a:r>
          </a:p>
        </c:rich>
      </c:tx>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BentonSans Regular" panose="02000503040000020004" pitchFamily="50" charset="0"/>
              <a:ea typeface="+mn-ea"/>
              <a:cs typeface="+mn-cs"/>
            </a:defRPr>
          </a:pPr>
          <a:endParaRPr lang="en-US"/>
        </a:p>
      </c:txPr>
    </c:title>
    <c:autoTitleDeleted val="0"/>
    <c:plotArea>
      <c:layout>
        <c:manualLayout>
          <c:layoutTarget val="inner"/>
          <c:xMode val="edge"/>
          <c:yMode val="edge"/>
          <c:x val="0.18485035786908888"/>
          <c:y val="0.13058434622960269"/>
          <c:w val="0.64386014888070731"/>
          <c:h val="0.6622731591721166"/>
        </c:manualLayout>
      </c:layout>
      <c:barChart>
        <c:barDir val="col"/>
        <c:grouping val="clustered"/>
        <c:varyColors val="0"/>
        <c:ser>
          <c:idx val="0"/>
          <c:order val="0"/>
          <c:tx>
            <c:strRef>
              <c:f>Sheet2!$A$23</c:f>
              <c:strCache>
                <c:ptCount val="1"/>
                <c:pt idx="0">
                  <c:v>New Loans (LA)</c:v>
                </c:pt>
              </c:strCache>
            </c:strRef>
          </c:tx>
          <c:spPr>
            <a:solidFill>
              <a:srgbClr val="F79646">
                <a:lumMod val="60000"/>
                <a:lumOff val="40000"/>
              </a:srgbClr>
            </a:solidFill>
            <a:ln>
              <a:noFill/>
            </a:ln>
            <a:effectLst/>
          </c:spPr>
          <c:invertIfNegative val="0"/>
          <c:dLbls>
            <c:dLbl>
              <c:idx val="3"/>
              <c:layout>
                <c:manualLayout>
                  <c:x val="-1.0185067526415994E-16"/>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CC-421A-8B7E-325F3AEE8742}"/>
                </c:ext>
              </c:extLst>
            </c:dLbl>
            <c:dLbl>
              <c:idx val="4"/>
              <c:layout>
                <c:manualLayout>
                  <c:x val="-1.1850617648903185E-2"/>
                  <c:y val="-7.3275780286500333E-3"/>
                </c:manualLayout>
              </c:layout>
              <c:showLegendKey val="0"/>
              <c:showVal val="1"/>
              <c:showCatName val="0"/>
              <c:showSerName val="0"/>
              <c:showPercent val="0"/>
              <c:showBubbleSize val="0"/>
              <c:extLst>
                <c:ext xmlns:c15="http://schemas.microsoft.com/office/drawing/2012/chart" uri="{CE6537A1-D6FC-4f65-9D91-7224C49458BB}">
                  <c15:layout>
                    <c:manualLayout>
                      <c:w val="0.15099943565074844"/>
                      <c:h val="5.9781171931821774E-2"/>
                    </c:manualLayout>
                  </c15:layout>
                </c:ext>
                <c:ext xmlns:c16="http://schemas.microsoft.com/office/drawing/2014/chart" uri="{C3380CC4-5D6E-409C-BE32-E72D297353CC}">
                  <c16:uniqueId val="{00000001-63CC-421A-8B7E-325F3AEE8742}"/>
                </c:ext>
              </c:extLst>
            </c:dLbl>
            <c:spPr>
              <a:noFill/>
              <a:ln>
                <a:solidFill>
                  <a:schemeClr val="tx1"/>
                </a:solidFill>
              </a:ln>
              <a:effectLst/>
            </c:spPr>
            <c:txPr>
              <a:bodyPr rot="0" spcFirstLastPara="1" vertOverflow="ellipsis" vert="horz" wrap="square" anchor="ctr" anchorCtr="1"/>
              <a:lstStyle/>
              <a:p>
                <a:pPr>
                  <a:defRPr sz="700" b="0" i="0" u="none" strike="noStrike" kern="1200" baseline="0">
                    <a:solidFill>
                      <a:srgbClr val="C00000"/>
                    </a:solidFill>
                    <a:latin typeface="BentonSans Regular" panose="02000503040000020004"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Sheet2!$B$22:$F$22</c:f>
              <c:strCache>
                <c:ptCount val="5"/>
                <c:pt idx="0">
                  <c:v>Q1 2015</c:v>
                </c:pt>
                <c:pt idx="1">
                  <c:v>Q1 2016</c:v>
                </c:pt>
                <c:pt idx="2">
                  <c:v>Q1 2017</c:v>
                </c:pt>
                <c:pt idx="3">
                  <c:v>Q1 2018</c:v>
                </c:pt>
                <c:pt idx="4">
                  <c:v>Q1 2019</c:v>
                </c:pt>
              </c:strCache>
            </c:strRef>
          </c:cat>
          <c:val>
            <c:numRef>
              <c:f>Sheet2!$B$23:$F$23</c:f>
              <c:numCache>
                <c:formatCode>0.0</c:formatCode>
                <c:ptCount val="5"/>
                <c:pt idx="0">
                  <c:v>178.08977743333332</c:v>
                </c:pt>
                <c:pt idx="1">
                  <c:v>199.46833100000001</c:v>
                </c:pt>
                <c:pt idx="2">
                  <c:v>213.74004249999999</c:v>
                </c:pt>
                <c:pt idx="3">
                  <c:v>197.90741791666667</c:v>
                </c:pt>
                <c:pt idx="4">
                  <c:v>247.25166130000002</c:v>
                </c:pt>
              </c:numCache>
            </c:numRef>
          </c:val>
          <c:extLst>
            <c:ext xmlns:c16="http://schemas.microsoft.com/office/drawing/2014/chart" uri="{C3380CC4-5D6E-409C-BE32-E72D297353CC}">
              <c16:uniqueId val="{00000002-63CC-421A-8B7E-325F3AEE8742}"/>
            </c:ext>
          </c:extLst>
        </c:ser>
        <c:dLbls>
          <c:showLegendKey val="0"/>
          <c:showVal val="1"/>
          <c:showCatName val="0"/>
          <c:showSerName val="0"/>
          <c:showPercent val="0"/>
          <c:showBubbleSize val="0"/>
        </c:dLbls>
        <c:gapWidth val="150"/>
        <c:axId val="327175424"/>
        <c:axId val="327172928"/>
      </c:barChart>
      <c:lineChart>
        <c:grouping val="standard"/>
        <c:varyColors val="0"/>
        <c:ser>
          <c:idx val="1"/>
          <c:order val="1"/>
          <c:tx>
            <c:strRef>
              <c:f>Sheet2!$A$24</c:f>
              <c:strCache>
                <c:ptCount val="1"/>
                <c:pt idx="0">
                  <c:v>Growth (RA)</c:v>
                </c:pt>
              </c:strCache>
            </c:strRef>
          </c:tx>
          <c:spPr>
            <a:ln w="28575" cap="rnd">
              <a:solidFill>
                <a:srgbClr val="1F497D"/>
              </a:solidFill>
              <a:round/>
            </a:ln>
            <a:effectLst/>
          </c:spPr>
          <c:marker>
            <c:symbol val="none"/>
          </c:marker>
          <c:dLbls>
            <c:dLbl>
              <c:idx val="0"/>
              <c:layout>
                <c:manualLayout>
                  <c:x val="-4.776399825021875E-2"/>
                  <c:y val="4.39468503937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CC-421A-8B7E-325F3AEE8742}"/>
                </c:ext>
              </c:extLst>
            </c:dLbl>
            <c:dLbl>
              <c:idx val="2"/>
              <c:layout>
                <c:manualLayout>
                  <c:x val="-4.4986220472440948E-2"/>
                  <c:y val="3.46875911344414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CC-421A-8B7E-325F3AEE8742}"/>
                </c:ext>
              </c:extLst>
            </c:dLbl>
            <c:dLbl>
              <c:idx val="3"/>
              <c:layout>
                <c:manualLayout>
                  <c:x val="-4.3256999125109365E-2"/>
                  <c:y val="1.15394429862932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CC-421A-8B7E-325F3AEE8742}"/>
                </c:ext>
              </c:extLst>
            </c:dLbl>
            <c:dLbl>
              <c:idx val="4"/>
              <c:layout>
                <c:manualLayout>
                  <c:x val="-3.7430508899698116E-2"/>
                  <c:y val="4.76283085096290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CC-421A-8B7E-325F3AEE874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BentonSans Regular" panose="02000503040000020004"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Sheet2!$B$22:$F$22</c:f>
              <c:strCache>
                <c:ptCount val="5"/>
                <c:pt idx="0">
                  <c:v>Q1 2015</c:v>
                </c:pt>
                <c:pt idx="1">
                  <c:v>Q1 2016</c:v>
                </c:pt>
                <c:pt idx="2">
                  <c:v>Q1 2017</c:v>
                </c:pt>
                <c:pt idx="3">
                  <c:v>Q1 2018</c:v>
                </c:pt>
                <c:pt idx="4">
                  <c:v>Q1 2019</c:v>
                </c:pt>
              </c:strCache>
            </c:strRef>
          </c:cat>
          <c:val>
            <c:numRef>
              <c:f>Sheet2!$B$24:$F$24</c:f>
              <c:numCache>
                <c:formatCode>0.0</c:formatCode>
                <c:ptCount val="5"/>
                <c:pt idx="0">
                  <c:v>7.2777153494599567</c:v>
                </c:pt>
                <c:pt idx="1">
                  <c:v>12.004368737374381</c:v>
                </c:pt>
                <c:pt idx="2">
                  <c:v>7.1548758785172639</c:v>
                </c:pt>
                <c:pt idx="3">
                  <c:v>-7.4074209016465993</c:v>
                </c:pt>
                <c:pt idx="4">
                  <c:v>24.932993367692191</c:v>
                </c:pt>
              </c:numCache>
            </c:numRef>
          </c:val>
          <c:smooth val="1"/>
          <c:extLst>
            <c:ext xmlns:c16="http://schemas.microsoft.com/office/drawing/2014/chart" uri="{C3380CC4-5D6E-409C-BE32-E72D297353CC}">
              <c16:uniqueId val="{00000007-63CC-421A-8B7E-325F3AEE8742}"/>
            </c:ext>
          </c:extLst>
        </c:ser>
        <c:dLbls>
          <c:showLegendKey val="0"/>
          <c:showVal val="1"/>
          <c:showCatName val="0"/>
          <c:showSerName val="0"/>
          <c:showPercent val="0"/>
          <c:showBubbleSize val="0"/>
        </c:dLbls>
        <c:marker val="1"/>
        <c:smooth val="0"/>
        <c:axId val="327169184"/>
        <c:axId val="327170016"/>
      </c:lineChart>
      <c:catAx>
        <c:axId val="32717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BentonSans Regular" panose="02000503040000020004" pitchFamily="50" charset="0"/>
                <a:ea typeface="+mn-ea"/>
                <a:cs typeface="+mn-cs"/>
              </a:defRPr>
            </a:pPr>
            <a:endParaRPr lang="en-US"/>
          </a:p>
        </c:txPr>
        <c:crossAx val="327172928"/>
        <c:crosses val="autoZero"/>
        <c:auto val="1"/>
        <c:lblAlgn val="ctr"/>
        <c:lblOffset val="100"/>
        <c:noMultiLvlLbl val="0"/>
      </c:catAx>
      <c:valAx>
        <c:axId val="327172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BentonSans Regular" panose="02000503040000020004" pitchFamily="50" charset="0"/>
                    <a:ea typeface="+mn-ea"/>
                    <a:cs typeface="+mn-cs"/>
                  </a:defRPr>
                </a:pPr>
                <a:r>
                  <a:rPr lang="en-US" sz="900" b="1">
                    <a:solidFill>
                      <a:sysClr val="windowText" lastClr="000000"/>
                    </a:solidFill>
                  </a:rPr>
                  <a:t>FRW Billion</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BentonSans Regular" panose="02000503040000020004" pitchFamily="50"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entonSans Regular" panose="02000503040000020004" pitchFamily="50" charset="0"/>
                <a:ea typeface="+mn-ea"/>
                <a:cs typeface="+mn-cs"/>
              </a:defRPr>
            </a:pPr>
            <a:endParaRPr lang="en-US"/>
          </a:p>
        </c:txPr>
        <c:crossAx val="327175424"/>
        <c:crosses val="autoZero"/>
        <c:crossBetween val="between"/>
      </c:valAx>
      <c:valAx>
        <c:axId val="327170016"/>
        <c:scaling>
          <c:orientation val="minMax"/>
        </c:scaling>
        <c:delete val="0"/>
        <c:axPos val="r"/>
        <c:title>
          <c:tx>
            <c:rich>
              <a:bodyPr rot="-5400000" spcFirstLastPara="1" vertOverflow="ellipsis" vert="horz" wrap="square" anchor="ctr" anchorCtr="1"/>
              <a:lstStyle/>
              <a:p>
                <a:pPr>
                  <a:defRPr sz="900" b="1" i="0" u="none" strike="noStrike" kern="1200" baseline="0">
                    <a:solidFill>
                      <a:sysClr val="windowText" lastClr="000000"/>
                    </a:solidFill>
                    <a:latin typeface="BentonSans Regular" panose="02000503040000020004" pitchFamily="50" charset="0"/>
                    <a:ea typeface="+mn-ea"/>
                    <a:cs typeface="+mn-cs"/>
                  </a:defRPr>
                </a:pPr>
                <a:r>
                  <a:rPr lang="en-US" sz="900" b="1">
                    <a:solidFill>
                      <a:sysClr val="windowText" lastClr="000000"/>
                    </a:solidFill>
                  </a:rPr>
                  <a:t>Percent</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BentonSans Regular" panose="02000503040000020004" pitchFamily="50"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entonSans Regular" panose="02000503040000020004" pitchFamily="50" charset="0"/>
                <a:ea typeface="+mn-ea"/>
                <a:cs typeface="+mn-cs"/>
              </a:defRPr>
            </a:pPr>
            <a:endParaRPr lang="en-US"/>
          </a:p>
        </c:txPr>
        <c:crossAx val="327169184"/>
        <c:crosses val="max"/>
        <c:crossBetween val="between"/>
      </c:valAx>
      <c:catAx>
        <c:axId val="327169184"/>
        <c:scaling>
          <c:orientation val="minMax"/>
        </c:scaling>
        <c:delete val="1"/>
        <c:axPos val="b"/>
        <c:numFmt formatCode="General" sourceLinked="1"/>
        <c:majorTickMark val="none"/>
        <c:minorTickMark val="none"/>
        <c:tickLblPos val="nextTo"/>
        <c:crossAx val="3271700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BentonSans Regular" panose="02000503040000020004" pitchFamily="50" charset="0"/>
              <a:ea typeface="+mn-ea"/>
              <a:cs typeface="+mn-cs"/>
            </a:defRPr>
          </a:pPr>
          <a:endParaRPr lang="en-US"/>
        </a:p>
      </c:txPr>
    </c:legend>
    <c:plotVisOnly val="1"/>
    <c:dispBlanksAs val="gap"/>
    <c:showDLblsOverMax val="0"/>
  </c:chart>
  <c:spPr>
    <a:noFill/>
    <a:ln w="9525" cap="flat" cmpd="sng" algn="ctr">
      <a:solidFill>
        <a:sysClr val="windowText" lastClr="000000"/>
      </a:solidFill>
      <a:round/>
    </a:ln>
    <a:effectLst/>
  </c:spPr>
  <c:txPr>
    <a:bodyPr/>
    <a:lstStyle/>
    <a:p>
      <a:pPr>
        <a:defRPr sz="700">
          <a:solidFill>
            <a:sysClr val="windowText" lastClr="000000"/>
          </a:solidFill>
          <a:latin typeface="BentonSans Regular" panose="02000503040000020004" pitchFamily="50"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BentonSans Regular" panose="02000503040000020004" pitchFamily="50" charset="0"/>
              <a:ea typeface="+mn-ea"/>
              <a:cs typeface="+mn-cs"/>
            </a:defRPr>
          </a:pPr>
          <a:endParaRPr lang="en-US"/>
        </a:p>
      </c:txPr>
    </c:title>
    <c:autoTitleDeleted val="0"/>
    <c:plotArea>
      <c:layout/>
      <c:barChart>
        <c:barDir val="col"/>
        <c:grouping val="stacked"/>
        <c:varyColors val="0"/>
        <c:ser>
          <c:idx val="0"/>
          <c:order val="0"/>
          <c:tx>
            <c:strRef>
              <c:f>Sheet2!$A$33</c:f>
              <c:strCache>
                <c:ptCount val="1"/>
                <c:pt idx="0">
                  <c:v>Growth of New Loans</c:v>
                </c:pt>
              </c:strCache>
            </c:strRef>
          </c:tx>
          <c:spPr>
            <a:solidFill>
              <a:srgbClr val="00B0F0"/>
            </a:solidFill>
            <a:ln>
              <a:noFill/>
            </a:ln>
            <a:effectLst/>
          </c:spPr>
          <c:invertIfNegative val="0"/>
          <c:dLbls>
            <c:dLbl>
              <c:idx val="0"/>
              <c:layout>
                <c:manualLayout>
                  <c:x val="-5.5555555555555558E-3"/>
                  <c:y val="-0.1090492855059784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7C-45BD-872C-190F51F5D33C}"/>
                </c:ext>
              </c:extLst>
            </c:dLbl>
            <c:dLbl>
              <c:idx val="1"/>
              <c:layout>
                <c:manualLayout>
                  <c:x val="2.7777777777777779E-3"/>
                  <c:y val="-9.27096092155147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7C-45BD-872C-190F51F5D33C}"/>
                </c:ext>
              </c:extLst>
            </c:dLbl>
            <c:dLbl>
              <c:idx val="2"/>
              <c:layout>
                <c:manualLayout>
                  <c:x val="-5.2910052910052907E-3"/>
                  <c:y val="-4.39727034120734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7C-45BD-872C-190F51F5D33C}"/>
                </c:ext>
              </c:extLst>
            </c:dLbl>
            <c:spPr>
              <a:noFill/>
              <a:ln>
                <a:noFill/>
              </a:ln>
              <a:effectLst/>
            </c:spPr>
            <c:txPr>
              <a:bodyPr rot="0" spcFirstLastPara="1" vertOverflow="ellipsis" vert="horz" wrap="square" anchor="ctr" anchorCtr="1"/>
              <a:lstStyle/>
              <a:p>
                <a:pPr>
                  <a:defRPr sz="900" b="0" i="0" u="none" strike="noStrike" kern="1200" baseline="0">
                    <a:solidFill>
                      <a:srgbClr val="C00000"/>
                    </a:solidFill>
                    <a:latin typeface="BentonSans Regular" panose="02000503040000020004" pitchFamily="50"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Sheet2!$B$32:$F$32</c:f>
              <c:numCache>
                <c:formatCode>mmm\-yy</c:formatCode>
                <c:ptCount val="5"/>
                <c:pt idx="0">
                  <c:v>43160</c:v>
                </c:pt>
                <c:pt idx="1">
                  <c:v>43252</c:v>
                </c:pt>
                <c:pt idx="2">
                  <c:v>43344</c:v>
                </c:pt>
                <c:pt idx="3">
                  <c:v>43435</c:v>
                </c:pt>
                <c:pt idx="4">
                  <c:v>43525</c:v>
                </c:pt>
              </c:numCache>
            </c:numRef>
          </c:cat>
          <c:val>
            <c:numRef>
              <c:f>Sheet2!$B$33:$F$33</c:f>
              <c:numCache>
                <c:formatCode>_(* #,##0.0_);_(* \(#,##0.0\);_(* "-"??_);_(@_)</c:formatCode>
                <c:ptCount val="5"/>
                <c:pt idx="0">
                  <c:v>-7.4</c:v>
                </c:pt>
                <c:pt idx="1">
                  <c:v>-3.3</c:v>
                </c:pt>
                <c:pt idx="2">
                  <c:v>0.26377738556413455</c:v>
                </c:pt>
                <c:pt idx="3">
                  <c:v>17.169244343501354</c:v>
                </c:pt>
                <c:pt idx="4">
                  <c:v>24.9</c:v>
                </c:pt>
              </c:numCache>
            </c:numRef>
          </c:val>
          <c:extLst>
            <c:ext xmlns:c16="http://schemas.microsoft.com/office/drawing/2014/chart" uri="{C3380CC4-5D6E-409C-BE32-E72D297353CC}">
              <c16:uniqueId val="{00000003-217C-45BD-872C-190F51F5D33C}"/>
            </c:ext>
          </c:extLst>
        </c:ser>
        <c:dLbls>
          <c:showLegendKey val="0"/>
          <c:showVal val="0"/>
          <c:showCatName val="0"/>
          <c:showSerName val="0"/>
          <c:showPercent val="0"/>
          <c:showBubbleSize val="0"/>
        </c:dLbls>
        <c:gapWidth val="150"/>
        <c:overlap val="100"/>
        <c:axId val="317221360"/>
        <c:axId val="317233008"/>
      </c:barChart>
      <c:catAx>
        <c:axId val="31722136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entonSans Regular" panose="02000503040000020004" pitchFamily="50" charset="0"/>
                <a:ea typeface="+mn-ea"/>
                <a:cs typeface="+mn-cs"/>
              </a:defRPr>
            </a:pPr>
            <a:endParaRPr lang="en-US"/>
          </a:p>
        </c:txPr>
        <c:crossAx val="317233008"/>
        <c:crosses val="autoZero"/>
        <c:auto val="0"/>
        <c:lblAlgn val="ctr"/>
        <c:lblOffset val="100"/>
        <c:noMultiLvlLbl val="0"/>
      </c:catAx>
      <c:valAx>
        <c:axId val="31723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BentonSans Regular" panose="02000503040000020004" pitchFamily="50" charset="0"/>
                    <a:ea typeface="+mn-ea"/>
                    <a:cs typeface="+mn-cs"/>
                  </a:defRPr>
                </a:pPr>
                <a:r>
                  <a:rPr lang="en-US" sz="1000" b="1">
                    <a:solidFill>
                      <a:sysClr val="windowText" lastClr="000000"/>
                    </a:solidFill>
                  </a:rPr>
                  <a:t>Percent</a:t>
                </a:r>
              </a:p>
            </c:rich>
          </c:tx>
          <c:layout>
            <c:manualLayout>
              <c:xMode val="edge"/>
              <c:yMode val="edge"/>
              <c:x val="2.5000000000000001E-2"/>
              <c:y val="0.3626272236803733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BentonSans Regular" panose="02000503040000020004" pitchFamily="50" charset="0"/>
                  <a:ea typeface="+mn-ea"/>
                  <a:cs typeface="+mn-cs"/>
                </a:defRPr>
              </a:pPr>
              <a:endParaRPr lang="en-US"/>
            </a:p>
          </c:txPr>
        </c:title>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entonSans Regular" panose="02000503040000020004" pitchFamily="50" charset="0"/>
                <a:ea typeface="+mn-ea"/>
                <a:cs typeface="+mn-cs"/>
              </a:defRPr>
            </a:pPr>
            <a:endParaRPr lang="en-US"/>
          </a:p>
        </c:txPr>
        <c:crossAx val="317221360"/>
        <c:crosses val="autoZero"/>
        <c:crossBetween val="between"/>
      </c:valAx>
      <c:spPr>
        <a:noFill/>
        <a:ln>
          <a:noFill/>
        </a:ln>
        <a:effectLst/>
      </c:spPr>
    </c:plotArea>
    <c:plotVisOnly val="1"/>
    <c:dispBlanksAs val="gap"/>
    <c:showDLblsOverMax val="0"/>
  </c:chart>
  <c:spPr>
    <a:noFill/>
    <a:ln w="9525" cap="flat" cmpd="sng" algn="ctr">
      <a:solidFill>
        <a:sysClr val="windowText" lastClr="000000"/>
      </a:solidFill>
      <a:round/>
    </a:ln>
    <a:effectLst/>
  </c:spPr>
  <c:txPr>
    <a:bodyPr/>
    <a:lstStyle/>
    <a:p>
      <a:pPr>
        <a:defRPr sz="900">
          <a:latin typeface="BentonSans Regular" panose="02000503040000020004" pitchFamily="50"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BentonSans Regular" panose="02000503040000020004" pitchFamily="50" charset="0"/>
              <a:ea typeface="+mn-ea"/>
              <a:cs typeface="+mn-cs"/>
            </a:defRPr>
          </a:pPr>
          <a:endParaRPr lang="en-US"/>
        </a:p>
      </c:txPr>
    </c:title>
    <c:autoTitleDeleted val="0"/>
    <c:plotArea>
      <c:layout/>
      <c:barChart>
        <c:barDir val="col"/>
        <c:grouping val="stacked"/>
        <c:varyColors val="0"/>
        <c:ser>
          <c:idx val="0"/>
          <c:order val="0"/>
          <c:tx>
            <c:strRef>
              <c:f>Sheet2!$A$33</c:f>
              <c:strCache>
                <c:ptCount val="1"/>
                <c:pt idx="0">
                  <c:v>Growth of New Loans</c:v>
                </c:pt>
              </c:strCache>
            </c:strRef>
          </c:tx>
          <c:spPr>
            <a:solidFill>
              <a:srgbClr val="00B0F0"/>
            </a:solidFill>
            <a:ln>
              <a:noFill/>
            </a:ln>
            <a:effectLst/>
          </c:spPr>
          <c:invertIfNegative val="0"/>
          <c:dLbls>
            <c:dLbl>
              <c:idx val="0"/>
              <c:layout>
                <c:manualLayout>
                  <c:x val="-5.5555555555555558E-3"/>
                  <c:y val="-0.1090492855059784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7C-45BD-872C-190F51F5D33C}"/>
                </c:ext>
              </c:extLst>
            </c:dLbl>
            <c:dLbl>
              <c:idx val="1"/>
              <c:layout>
                <c:manualLayout>
                  <c:x val="2.7777777777777779E-3"/>
                  <c:y val="-9.27096092155147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7C-45BD-872C-190F51F5D33C}"/>
                </c:ext>
              </c:extLst>
            </c:dLbl>
            <c:dLbl>
              <c:idx val="2"/>
              <c:layout>
                <c:manualLayout>
                  <c:x val="-5.2910052910052907E-3"/>
                  <c:y val="-4.39727034120734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7C-45BD-872C-190F51F5D33C}"/>
                </c:ext>
              </c:extLst>
            </c:dLbl>
            <c:spPr>
              <a:noFill/>
              <a:ln>
                <a:noFill/>
              </a:ln>
              <a:effectLst/>
            </c:spPr>
            <c:txPr>
              <a:bodyPr rot="0" spcFirstLastPara="1" vertOverflow="ellipsis" vert="horz" wrap="square" anchor="ctr" anchorCtr="1"/>
              <a:lstStyle/>
              <a:p>
                <a:pPr>
                  <a:defRPr sz="900" b="0" i="0" u="none" strike="noStrike" kern="1200" baseline="0">
                    <a:solidFill>
                      <a:srgbClr val="C00000"/>
                    </a:solidFill>
                    <a:latin typeface="BentonSans Regular" panose="02000503040000020004" pitchFamily="50"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Sheet2!$B$32:$F$32</c:f>
              <c:numCache>
                <c:formatCode>mmm\-yy</c:formatCode>
                <c:ptCount val="5"/>
                <c:pt idx="0">
                  <c:v>43160</c:v>
                </c:pt>
                <c:pt idx="1">
                  <c:v>43252</c:v>
                </c:pt>
                <c:pt idx="2">
                  <c:v>43344</c:v>
                </c:pt>
                <c:pt idx="3">
                  <c:v>43435</c:v>
                </c:pt>
                <c:pt idx="4">
                  <c:v>43525</c:v>
                </c:pt>
              </c:numCache>
            </c:numRef>
          </c:cat>
          <c:val>
            <c:numRef>
              <c:f>Sheet2!$B$33:$F$33</c:f>
              <c:numCache>
                <c:formatCode>_(* #,##0.0_);_(* \(#,##0.0\);_(* "-"??_);_(@_)</c:formatCode>
                <c:ptCount val="5"/>
                <c:pt idx="0">
                  <c:v>-7.4</c:v>
                </c:pt>
                <c:pt idx="1">
                  <c:v>-3.3</c:v>
                </c:pt>
                <c:pt idx="2">
                  <c:v>0.26377738556413455</c:v>
                </c:pt>
                <c:pt idx="3">
                  <c:v>17.169244343501354</c:v>
                </c:pt>
                <c:pt idx="4">
                  <c:v>24.9</c:v>
                </c:pt>
              </c:numCache>
            </c:numRef>
          </c:val>
          <c:extLst>
            <c:ext xmlns:c16="http://schemas.microsoft.com/office/drawing/2014/chart" uri="{C3380CC4-5D6E-409C-BE32-E72D297353CC}">
              <c16:uniqueId val="{00000003-217C-45BD-872C-190F51F5D33C}"/>
            </c:ext>
          </c:extLst>
        </c:ser>
        <c:dLbls>
          <c:showLegendKey val="0"/>
          <c:showVal val="0"/>
          <c:showCatName val="0"/>
          <c:showSerName val="0"/>
          <c:showPercent val="0"/>
          <c:showBubbleSize val="0"/>
        </c:dLbls>
        <c:gapWidth val="150"/>
        <c:overlap val="100"/>
        <c:axId val="317221360"/>
        <c:axId val="317233008"/>
      </c:barChart>
      <c:catAx>
        <c:axId val="31722136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entonSans Regular" panose="02000503040000020004" pitchFamily="50" charset="0"/>
                <a:ea typeface="+mn-ea"/>
                <a:cs typeface="+mn-cs"/>
              </a:defRPr>
            </a:pPr>
            <a:endParaRPr lang="en-US"/>
          </a:p>
        </c:txPr>
        <c:crossAx val="317233008"/>
        <c:crosses val="autoZero"/>
        <c:auto val="0"/>
        <c:lblAlgn val="ctr"/>
        <c:lblOffset val="100"/>
        <c:noMultiLvlLbl val="0"/>
      </c:catAx>
      <c:valAx>
        <c:axId val="31723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BentonSans Regular" panose="02000503040000020004" pitchFamily="50" charset="0"/>
                    <a:ea typeface="+mn-ea"/>
                    <a:cs typeface="+mn-cs"/>
                  </a:defRPr>
                </a:pPr>
                <a:r>
                  <a:rPr lang="en-US" sz="1000" b="1">
                    <a:solidFill>
                      <a:sysClr val="windowText" lastClr="000000"/>
                    </a:solidFill>
                  </a:rPr>
                  <a:t>Percent</a:t>
                </a:r>
              </a:p>
            </c:rich>
          </c:tx>
          <c:layout>
            <c:manualLayout>
              <c:xMode val="edge"/>
              <c:yMode val="edge"/>
              <c:x val="2.5000000000000001E-2"/>
              <c:y val="0.3626272236803733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BentonSans Regular" panose="02000503040000020004" pitchFamily="50" charset="0"/>
                  <a:ea typeface="+mn-ea"/>
                  <a:cs typeface="+mn-cs"/>
                </a:defRPr>
              </a:pPr>
              <a:endParaRPr lang="en-US"/>
            </a:p>
          </c:txPr>
        </c:title>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entonSans Regular" panose="02000503040000020004" pitchFamily="50" charset="0"/>
                <a:ea typeface="+mn-ea"/>
                <a:cs typeface="+mn-cs"/>
              </a:defRPr>
            </a:pPr>
            <a:endParaRPr lang="en-US"/>
          </a:p>
        </c:txPr>
        <c:crossAx val="317221360"/>
        <c:crosses val="autoZero"/>
        <c:crossBetween val="between"/>
      </c:valAx>
      <c:spPr>
        <a:noFill/>
        <a:ln>
          <a:noFill/>
        </a:ln>
        <a:effectLst/>
      </c:spPr>
    </c:plotArea>
    <c:plotVisOnly val="1"/>
    <c:dispBlanksAs val="gap"/>
    <c:showDLblsOverMax val="0"/>
  </c:chart>
  <c:spPr>
    <a:noFill/>
    <a:ln w="9525" cap="flat" cmpd="sng" algn="ctr">
      <a:solidFill>
        <a:sysClr val="windowText" lastClr="000000"/>
      </a:solidFill>
      <a:round/>
    </a:ln>
    <a:effectLst/>
  </c:spPr>
  <c:txPr>
    <a:bodyPr/>
    <a:lstStyle/>
    <a:p>
      <a:pPr>
        <a:defRPr sz="900">
          <a:latin typeface="BentonSans Regular" panose="02000503040000020004" pitchFamily="50"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r>
              <a:rPr lang="en-US" sz="1000" b="1">
                <a:solidFill>
                  <a:sysClr val="windowText" lastClr="000000"/>
                </a:solidFill>
              </a:rPr>
              <a:t>Credit Standards</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endParaRPr lang="en-US"/>
        </a:p>
      </c:txPr>
    </c:title>
    <c:autoTitleDeleted val="0"/>
    <c:plotArea>
      <c:layout/>
      <c:barChart>
        <c:barDir val="bar"/>
        <c:grouping val="clustered"/>
        <c:varyColors val="0"/>
        <c:ser>
          <c:idx val="0"/>
          <c:order val="0"/>
          <c:spPr>
            <a:solidFill>
              <a:srgbClr val="8064A2">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accent2"/>
                    </a:solidFill>
                    <a:latin typeface="BentonSans Regular" panose="02000503040000020004"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SAMMURY!$A$104:$A$108</c:f>
              <c:strCache>
                <c:ptCount val="5"/>
                <c:pt idx="0">
                  <c:v>Tightened considerably</c:v>
                </c:pt>
                <c:pt idx="1">
                  <c:v>Tightened somewhat</c:v>
                </c:pt>
                <c:pt idx="2">
                  <c:v>Remained basically unchanged </c:v>
                </c:pt>
                <c:pt idx="3">
                  <c:v>Eased somewhat</c:v>
                </c:pt>
                <c:pt idx="4">
                  <c:v>Eased considerably</c:v>
                </c:pt>
              </c:strCache>
            </c:strRef>
          </c:cat>
          <c:val>
            <c:numRef>
              <c:f>SAMMURY!$B$104:$B$108</c:f>
              <c:numCache>
                <c:formatCode>_(* #,##0_);_(* \(#,##0\);_(* "-"??_);_(@_)</c:formatCode>
                <c:ptCount val="5"/>
                <c:pt idx="0">
                  <c:v>2</c:v>
                </c:pt>
                <c:pt idx="1">
                  <c:v>2</c:v>
                </c:pt>
                <c:pt idx="2">
                  <c:v>12</c:v>
                </c:pt>
                <c:pt idx="3">
                  <c:v>0</c:v>
                </c:pt>
                <c:pt idx="4">
                  <c:v>0</c:v>
                </c:pt>
              </c:numCache>
            </c:numRef>
          </c:val>
          <c:extLst>
            <c:ext xmlns:c16="http://schemas.microsoft.com/office/drawing/2014/chart" uri="{C3380CC4-5D6E-409C-BE32-E72D297353CC}">
              <c16:uniqueId val="{00000000-3870-48F6-9743-CA56C081F317}"/>
            </c:ext>
          </c:extLst>
        </c:ser>
        <c:dLbls>
          <c:showLegendKey val="0"/>
          <c:showVal val="0"/>
          <c:showCatName val="0"/>
          <c:showSerName val="0"/>
          <c:showPercent val="0"/>
          <c:showBubbleSize val="0"/>
        </c:dLbls>
        <c:gapWidth val="182"/>
        <c:axId val="1156527567"/>
        <c:axId val="1156532559"/>
      </c:barChart>
      <c:catAx>
        <c:axId val="11565275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entonSans Regular" panose="02000503040000020004" pitchFamily="50" charset="0"/>
                <a:ea typeface="+mn-ea"/>
                <a:cs typeface="+mn-cs"/>
              </a:defRPr>
            </a:pPr>
            <a:endParaRPr lang="en-US"/>
          </a:p>
        </c:txPr>
        <c:crossAx val="1156532559"/>
        <c:crosses val="autoZero"/>
        <c:auto val="1"/>
        <c:lblAlgn val="ctr"/>
        <c:lblOffset val="100"/>
        <c:noMultiLvlLbl val="0"/>
      </c:catAx>
      <c:valAx>
        <c:axId val="11565325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BentonSans Regular" panose="02000503040000020004" pitchFamily="50" charset="0"/>
                    <a:ea typeface="+mn-ea"/>
                    <a:cs typeface="+mn-cs"/>
                  </a:defRPr>
                </a:pPr>
                <a:r>
                  <a:rPr lang="en-US" b="1">
                    <a:solidFill>
                      <a:sysClr val="windowText" lastClr="000000"/>
                    </a:solidFill>
                  </a:rPr>
                  <a:t>Number of Banks</a:t>
                </a:r>
              </a:p>
            </c:rich>
          </c:tx>
          <c:layout>
            <c:manualLayout>
              <c:xMode val="edge"/>
              <c:yMode val="edge"/>
              <c:x val="0.36275191144585189"/>
              <c:y val="0.9049149411879070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BentonSans Regular" panose="02000503040000020004" pitchFamily="50" charset="0"/>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entonSans Regular" panose="02000503040000020004" pitchFamily="50" charset="0"/>
                <a:ea typeface="+mn-ea"/>
                <a:cs typeface="+mn-cs"/>
              </a:defRPr>
            </a:pPr>
            <a:endParaRPr lang="en-US"/>
          </a:p>
        </c:txPr>
        <c:crossAx val="1156527567"/>
        <c:crosses val="autoZero"/>
        <c:crossBetween val="between"/>
      </c:valAx>
      <c:spPr>
        <a:noFill/>
        <a:ln>
          <a:noFill/>
        </a:ln>
        <a:effectLst/>
      </c:spPr>
    </c:plotArea>
    <c:plotVisOnly val="1"/>
    <c:dispBlanksAs val="gap"/>
    <c:showDLblsOverMax val="0"/>
  </c:chart>
  <c:spPr>
    <a:noFill/>
    <a:ln w="9525" cap="flat" cmpd="sng" algn="ctr">
      <a:solidFill>
        <a:sysClr val="windowText" lastClr="000000"/>
      </a:solidFill>
      <a:round/>
    </a:ln>
    <a:effectLst/>
  </c:spPr>
  <c:txPr>
    <a:bodyPr/>
    <a:lstStyle/>
    <a:p>
      <a:pPr>
        <a:defRPr sz="1000">
          <a:latin typeface="BentonSans Regular" panose="02000503040000020004" pitchFamily="50" charset="0"/>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r>
              <a:rPr lang="en-US" sz="1000" b="1">
                <a:solidFill>
                  <a:sysClr val="windowText" lastClr="000000"/>
                </a:solidFill>
              </a:rPr>
              <a:t>Credit Standards</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endParaRPr lang="en-US"/>
        </a:p>
      </c:txPr>
    </c:title>
    <c:autoTitleDeleted val="0"/>
    <c:plotArea>
      <c:layout/>
      <c:barChart>
        <c:barDir val="bar"/>
        <c:grouping val="clustered"/>
        <c:varyColors val="0"/>
        <c:ser>
          <c:idx val="0"/>
          <c:order val="0"/>
          <c:spPr>
            <a:solidFill>
              <a:srgbClr val="8064A2">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accent2"/>
                    </a:solidFill>
                    <a:latin typeface="BentonSans Regular" panose="02000503040000020004"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SAMMURY!$A$104:$A$108</c:f>
              <c:strCache>
                <c:ptCount val="5"/>
                <c:pt idx="0">
                  <c:v>Tightened considerably</c:v>
                </c:pt>
                <c:pt idx="1">
                  <c:v>Tightened somewhat</c:v>
                </c:pt>
                <c:pt idx="2">
                  <c:v>Remained basically unchanged </c:v>
                </c:pt>
                <c:pt idx="3">
                  <c:v>Eased somewhat</c:v>
                </c:pt>
                <c:pt idx="4">
                  <c:v>Eased considerably</c:v>
                </c:pt>
              </c:strCache>
            </c:strRef>
          </c:cat>
          <c:val>
            <c:numRef>
              <c:f>SAMMURY!$B$104:$B$108</c:f>
              <c:numCache>
                <c:formatCode>_(* #,##0_);_(* \(#,##0\);_(* "-"??_);_(@_)</c:formatCode>
                <c:ptCount val="5"/>
                <c:pt idx="0">
                  <c:v>2</c:v>
                </c:pt>
                <c:pt idx="1">
                  <c:v>2</c:v>
                </c:pt>
                <c:pt idx="2">
                  <c:v>12</c:v>
                </c:pt>
                <c:pt idx="3">
                  <c:v>0</c:v>
                </c:pt>
                <c:pt idx="4">
                  <c:v>0</c:v>
                </c:pt>
              </c:numCache>
            </c:numRef>
          </c:val>
          <c:extLst>
            <c:ext xmlns:c16="http://schemas.microsoft.com/office/drawing/2014/chart" uri="{C3380CC4-5D6E-409C-BE32-E72D297353CC}">
              <c16:uniqueId val="{00000000-3870-48F6-9743-CA56C081F317}"/>
            </c:ext>
          </c:extLst>
        </c:ser>
        <c:dLbls>
          <c:showLegendKey val="0"/>
          <c:showVal val="0"/>
          <c:showCatName val="0"/>
          <c:showSerName val="0"/>
          <c:showPercent val="0"/>
          <c:showBubbleSize val="0"/>
        </c:dLbls>
        <c:gapWidth val="182"/>
        <c:axId val="1156527567"/>
        <c:axId val="1156532559"/>
      </c:barChart>
      <c:catAx>
        <c:axId val="11565275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entonSans Regular" panose="02000503040000020004" pitchFamily="50" charset="0"/>
                <a:ea typeface="+mn-ea"/>
                <a:cs typeface="+mn-cs"/>
              </a:defRPr>
            </a:pPr>
            <a:endParaRPr lang="en-US"/>
          </a:p>
        </c:txPr>
        <c:crossAx val="1156532559"/>
        <c:crosses val="autoZero"/>
        <c:auto val="1"/>
        <c:lblAlgn val="ctr"/>
        <c:lblOffset val="100"/>
        <c:noMultiLvlLbl val="0"/>
      </c:catAx>
      <c:valAx>
        <c:axId val="11565325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BentonSans Regular" panose="02000503040000020004" pitchFamily="50" charset="0"/>
                    <a:ea typeface="+mn-ea"/>
                    <a:cs typeface="+mn-cs"/>
                  </a:defRPr>
                </a:pPr>
                <a:r>
                  <a:rPr lang="en-US" b="1">
                    <a:solidFill>
                      <a:sysClr val="windowText" lastClr="000000"/>
                    </a:solidFill>
                  </a:rPr>
                  <a:t>Number of Banks</a:t>
                </a:r>
              </a:p>
            </c:rich>
          </c:tx>
          <c:layout>
            <c:manualLayout>
              <c:xMode val="edge"/>
              <c:yMode val="edge"/>
              <c:x val="0.36275191144585189"/>
              <c:y val="0.9049149411879070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BentonSans Regular" panose="02000503040000020004" pitchFamily="50" charset="0"/>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entonSans Regular" panose="02000503040000020004" pitchFamily="50" charset="0"/>
                <a:ea typeface="+mn-ea"/>
                <a:cs typeface="+mn-cs"/>
              </a:defRPr>
            </a:pPr>
            <a:endParaRPr lang="en-US"/>
          </a:p>
        </c:txPr>
        <c:crossAx val="1156527567"/>
        <c:crosses val="autoZero"/>
        <c:crossBetween val="between"/>
      </c:valAx>
      <c:spPr>
        <a:noFill/>
        <a:ln>
          <a:noFill/>
        </a:ln>
        <a:effectLst/>
      </c:spPr>
    </c:plotArea>
    <c:plotVisOnly val="1"/>
    <c:dispBlanksAs val="gap"/>
    <c:showDLblsOverMax val="0"/>
  </c:chart>
  <c:spPr>
    <a:noFill/>
    <a:ln w="9525" cap="flat" cmpd="sng" algn="ctr">
      <a:solidFill>
        <a:sysClr val="windowText" lastClr="000000"/>
      </a:solidFill>
      <a:round/>
    </a:ln>
    <a:effectLst/>
  </c:spPr>
  <c:txPr>
    <a:bodyPr/>
    <a:lstStyle/>
    <a:p>
      <a:pPr>
        <a:defRPr sz="1000">
          <a:latin typeface="BentonSans Regular" panose="02000503040000020004" pitchFamily="50"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r>
              <a:rPr lang="en-US" sz="1000" b="1">
                <a:solidFill>
                  <a:sysClr val="windowText" lastClr="000000"/>
                </a:solidFill>
              </a:rPr>
              <a:t>Terms and Condititons</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endParaRPr lang="en-US"/>
        </a:p>
      </c:txPr>
    </c:title>
    <c:autoTitleDeleted val="0"/>
    <c:plotArea>
      <c:layout/>
      <c:pieChart>
        <c:varyColors val="1"/>
        <c:ser>
          <c:idx val="0"/>
          <c:order val="0"/>
          <c:dPt>
            <c:idx val="0"/>
            <c:bubble3D val="0"/>
            <c:spPr>
              <a:solidFill>
                <a:srgbClr val="F79646">
                  <a:lumMod val="75000"/>
                </a:srgbClr>
              </a:solidFill>
              <a:ln w="19050">
                <a:solidFill>
                  <a:schemeClr val="lt1"/>
                </a:solidFill>
              </a:ln>
              <a:effectLst/>
            </c:spPr>
            <c:extLst>
              <c:ext xmlns:c16="http://schemas.microsoft.com/office/drawing/2014/chart" uri="{C3380CC4-5D6E-409C-BE32-E72D297353CC}">
                <c16:uniqueId val="{00000001-1AAA-434F-BE64-C6F9481DD0C1}"/>
              </c:ext>
            </c:extLst>
          </c:dPt>
          <c:dPt>
            <c:idx val="1"/>
            <c:bubble3D val="0"/>
            <c:spPr>
              <a:solidFill>
                <a:srgbClr val="9BBB59">
                  <a:lumMod val="60000"/>
                  <a:lumOff val="40000"/>
                </a:srgbClr>
              </a:solidFill>
              <a:ln w="19050">
                <a:solidFill>
                  <a:schemeClr val="lt1"/>
                </a:solidFill>
              </a:ln>
              <a:effectLst/>
            </c:spPr>
            <c:extLst>
              <c:ext xmlns:c16="http://schemas.microsoft.com/office/drawing/2014/chart" uri="{C3380CC4-5D6E-409C-BE32-E72D297353CC}">
                <c16:uniqueId val="{00000003-1AAA-434F-BE64-C6F9481DD0C1}"/>
              </c:ext>
            </c:extLst>
          </c:dPt>
          <c:dPt>
            <c:idx val="2"/>
            <c:bubble3D val="0"/>
            <c:spPr>
              <a:solidFill>
                <a:srgbClr val="4BACC6"/>
              </a:solidFill>
              <a:ln w="19050">
                <a:solidFill>
                  <a:schemeClr val="lt1"/>
                </a:solidFill>
              </a:ln>
              <a:effectLst/>
            </c:spPr>
            <c:extLst>
              <c:ext xmlns:c16="http://schemas.microsoft.com/office/drawing/2014/chart" uri="{C3380CC4-5D6E-409C-BE32-E72D297353CC}">
                <c16:uniqueId val="{00000005-1AAA-434F-BE64-C6F9481DD0C1}"/>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BentonSans Regular" panose="02000503040000020004" pitchFamily="50"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SAMMURY!$A$121:$A$123</c:f>
              <c:strCache>
                <c:ptCount val="3"/>
                <c:pt idx="0">
                  <c:v>Tightened </c:v>
                </c:pt>
                <c:pt idx="1">
                  <c:v>Remained unchanged </c:v>
                </c:pt>
                <c:pt idx="2">
                  <c:v>Eased </c:v>
                </c:pt>
              </c:strCache>
            </c:strRef>
          </c:cat>
          <c:val>
            <c:numRef>
              <c:f>SAMMURY!$B$121:$B$123</c:f>
              <c:numCache>
                <c:formatCode>General</c:formatCode>
                <c:ptCount val="3"/>
                <c:pt idx="0">
                  <c:v>3</c:v>
                </c:pt>
                <c:pt idx="1">
                  <c:v>11</c:v>
                </c:pt>
                <c:pt idx="2">
                  <c:v>2</c:v>
                </c:pt>
              </c:numCache>
            </c:numRef>
          </c:val>
          <c:extLst>
            <c:ext xmlns:c16="http://schemas.microsoft.com/office/drawing/2014/chart" uri="{C3380CC4-5D6E-409C-BE32-E72D297353CC}">
              <c16:uniqueId val="{00000006-1AAA-434F-BE64-C6F9481DD0C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BentonSans Regular" panose="02000503040000020004" pitchFamily="50" charset="0"/>
              <a:ea typeface="+mn-ea"/>
              <a:cs typeface="+mn-cs"/>
            </a:defRPr>
          </a:pPr>
          <a:endParaRPr lang="en-US"/>
        </a:p>
      </c:txPr>
    </c:legend>
    <c:plotVisOnly val="1"/>
    <c:dispBlanksAs val="gap"/>
    <c:showDLblsOverMax val="0"/>
  </c:chart>
  <c:spPr>
    <a:noFill/>
    <a:ln w="9525" cap="flat" cmpd="sng" algn="ctr">
      <a:solidFill>
        <a:sysClr val="windowText" lastClr="000000"/>
      </a:solidFill>
      <a:round/>
    </a:ln>
    <a:effectLst/>
  </c:spPr>
  <c:txPr>
    <a:bodyPr/>
    <a:lstStyle/>
    <a:p>
      <a:pPr>
        <a:defRPr sz="1050">
          <a:latin typeface="BentonSans Regular" panose="02000503040000020004" pitchFamily="50" charset="0"/>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r>
              <a:rPr lang="en-US" sz="1000" b="1">
                <a:solidFill>
                  <a:sysClr val="windowText" lastClr="000000"/>
                </a:solidFill>
              </a:rPr>
              <a:t>Terms and Condititons</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endParaRPr lang="en-US"/>
        </a:p>
      </c:txPr>
    </c:title>
    <c:autoTitleDeleted val="0"/>
    <c:plotArea>
      <c:layout/>
      <c:pieChart>
        <c:varyColors val="1"/>
        <c:ser>
          <c:idx val="0"/>
          <c:order val="0"/>
          <c:dPt>
            <c:idx val="0"/>
            <c:bubble3D val="0"/>
            <c:spPr>
              <a:solidFill>
                <a:srgbClr val="F79646">
                  <a:lumMod val="75000"/>
                </a:srgbClr>
              </a:solidFill>
              <a:ln w="19050">
                <a:solidFill>
                  <a:schemeClr val="lt1"/>
                </a:solidFill>
              </a:ln>
              <a:effectLst/>
            </c:spPr>
            <c:extLst>
              <c:ext xmlns:c16="http://schemas.microsoft.com/office/drawing/2014/chart" uri="{C3380CC4-5D6E-409C-BE32-E72D297353CC}">
                <c16:uniqueId val="{00000001-1AAA-434F-BE64-C6F9481DD0C1}"/>
              </c:ext>
            </c:extLst>
          </c:dPt>
          <c:dPt>
            <c:idx val="1"/>
            <c:bubble3D val="0"/>
            <c:spPr>
              <a:solidFill>
                <a:srgbClr val="9BBB59">
                  <a:lumMod val="60000"/>
                  <a:lumOff val="40000"/>
                </a:srgbClr>
              </a:solidFill>
              <a:ln w="19050">
                <a:solidFill>
                  <a:schemeClr val="lt1"/>
                </a:solidFill>
              </a:ln>
              <a:effectLst/>
            </c:spPr>
            <c:extLst>
              <c:ext xmlns:c16="http://schemas.microsoft.com/office/drawing/2014/chart" uri="{C3380CC4-5D6E-409C-BE32-E72D297353CC}">
                <c16:uniqueId val="{00000003-1AAA-434F-BE64-C6F9481DD0C1}"/>
              </c:ext>
            </c:extLst>
          </c:dPt>
          <c:dPt>
            <c:idx val="2"/>
            <c:bubble3D val="0"/>
            <c:spPr>
              <a:solidFill>
                <a:srgbClr val="4BACC6"/>
              </a:solidFill>
              <a:ln w="19050">
                <a:solidFill>
                  <a:schemeClr val="lt1"/>
                </a:solidFill>
              </a:ln>
              <a:effectLst/>
            </c:spPr>
            <c:extLst>
              <c:ext xmlns:c16="http://schemas.microsoft.com/office/drawing/2014/chart" uri="{C3380CC4-5D6E-409C-BE32-E72D297353CC}">
                <c16:uniqueId val="{00000005-1AAA-434F-BE64-C6F9481DD0C1}"/>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BentonSans Regular" panose="02000503040000020004" pitchFamily="50"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SAMMURY!$A$121:$A$123</c:f>
              <c:strCache>
                <c:ptCount val="3"/>
                <c:pt idx="0">
                  <c:v>Tightened </c:v>
                </c:pt>
                <c:pt idx="1">
                  <c:v>Remained unchanged </c:v>
                </c:pt>
                <c:pt idx="2">
                  <c:v>Eased </c:v>
                </c:pt>
              </c:strCache>
            </c:strRef>
          </c:cat>
          <c:val>
            <c:numRef>
              <c:f>SAMMURY!$B$121:$B$123</c:f>
              <c:numCache>
                <c:formatCode>General</c:formatCode>
                <c:ptCount val="3"/>
                <c:pt idx="0">
                  <c:v>3</c:v>
                </c:pt>
                <c:pt idx="1">
                  <c:v>11</c:v>
                </c:pt>
                <c:pt idx="2">
                  <c:v>2</c:v>
                </c:pt>
              </c:numCache>
            </c:numRef>
          </c:val>
          <c:extLst>
            <c:ext xmlns:c16="http://schemas.microsoft.com/office/drawing/2014/chart" uri="{C3380CC4-5D6E-409C-BE32-E72D297353CC}">
              <c16:uniqueId val="{00000006-1AAA-434F-BE64-C6F9481DD0C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BentonSans Regular" panose="02000503040000020004" pitchFamily="50" charset="0"/>
              <a:ea typeface="+mn-ea"/>
              <a:cs typeface="+mn-cs"/>
            </a:defRPr>
          </a:pPr>
          <a:endParaRPr lang="en-US"/>
        </a:p>
      </c:txPr>
    </c:legend>
    <c:plotVisOnly val="1"/>
    <c:dispBlanksAs val="gap"/>
    <c:showDLblsOverMax val="0"/>
  </c:chart>
  <c:spPr>
    <a:noFill/>
    <a:ln w="9525" cap="flat" cmpd="sng" algn="ctr">
      <a:solidFill>
        <a:sysClr val="windowText" lastClr="000000"/>
      </a:solidFill>
      <a:round/>
    </a:ln>
    <a:effectLst/>
  </c:spPr>
  <c:txPr>
    <a:bodyPr/>
    <a:lstStyle/>
    <a:p>
      <a:pPr>
        <a:defRPr sz="1050">
          <a:latin typeface="BentonSans Regular" panose="02000503040000020004" pitchFamily="50"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r>
              <a:rPr lang="en-US" sz="1000" b="1">
                <a:solidFill>
                  <a:sysClr val="windowText" lastClr="000000"/>
                </a:solidFill>
              </a:rPr>
              <a:t>Expectations on Credit </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endParaRPr lang="en-US"/>
        </a:p>
      </c:txPr>
    </c:title>
    <c:autoTitleDeleted val="0"/>
    <c:plotArea>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35A9-4926-B709-4A0D7E41A18F}"/>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35A9-4926-B709-4A0D7E41A18F}"/>
              </c:ext>
            </c:extLst>
          </c:dPt>
          <c:dLbls>
            <c:spPr>
              <a:noFill/>
              <a:ln>
                <a:noFill/>
              </a:ln>
              <a:effectLst/>
            </c:spPr>
            <c:txPr>
              <a:bodyPr rot="0" spcFirstLastPara="1" vertOverflow="ellipsis" vert="horz" wrap="square" anchor="ctr" anchorCtr="1"/>
              <a:lstStyle/>
              <a:p>
                <a:pPr>
                  <a:defRPr sz="800" b="1" i="0" u="none" strike="noStrike" kern="1200" baseline="0">
                    <a:solidFill>
                      <a:srgbClr val="C00000"/>
                    </a:solidFill>
                    <a:latin typeface="BentonSans Regular" panose="02000503040000020004" pitchFamily="50"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SAMMURY!$A$136:$A$137</c:f>
              <c:strCache>
                <c:ptCount val="2"/>
                <c:pt idx="0">
                  <c:v>Increase</c:v>
                </c:pt>
                <c:pt idx="1">
                  <c:v>Decrease</c:v>
                </c:pt>
              </c:strCache>
            </c:strRef>
          </c:cat>
          <c:val>
            <c:numRef>
              <c:f>SAMMURY!$B$136:$B$137</c:f>
              <c:numCache>
                <c:formatCode>General</c:formatCode>
                <c:ptCount val="2"/>
                <c:pt idx="0">
                  <c:v>12</c:v>
                </c:pt>
                <c:pt idx="1">
                  <c:v>4</c:v>
                </c:pt>
              </c:numCache>
            </c:numRef>
          </c:val>
          <c:extLst>
            <c:ext xmlns:c16="http://schemas.microsoft.com/office/drawing/2014/chart" uri="{C3380CC4-5D6E-409C-BE32-E72D297353CC}">
              <c16:uniqueId val="{00000004-35A9-4926-B709-4A0D7E41A18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entonSans Regular" panose="02000503040000020004" pitchFamily="50" charset="0"/>
              <a:ea typeface="+mn-ea"/>
              <a:cs typeface="+mn-cs"/>
            </a:defRPr>
          </a:pPr>
          <a:endParaRPr lang="en-US"/>
        </a:p>
      </c:txPr>
    </c:legend>
    <c:plotVisOnly val="1"/>
    <c:dispBlanksAs val="gap"/>
    <c:showDLblsOverMax val="0"/>
  </c:chart>
  <c:spPr>
    <a:noFill/>
    <a:ln w="9525" cap="flat" cmpd="sng" algn="ctr">
      <a:solidFill>
        <a:sysClr val="windowText" lastClr="000000"/>
      </a:solidFill>
      <a:round/>
    </a:ln>
    <a:effectLst/>
  </c:spPr>
  <c:txPr>
    <a:bodyPr/>
    <a:lstStyle/>
    <a:p>
      <a:pPr>
        <a:defRPr sz="800">
          <a:latin typeface="BentonSans Regular" panose="02000503040000020004" pitchFamily="50" charset="0"/>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r>
              <a:rPr lang="en-US" sz="1000" b="1">
                <a:solidFill>
                  <a:sysClr val="windowText" lastClr="000000"/>
                </a:solidFill>
              </a:rPr>
              <a:t>Expectations on Credit </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endParaRPr lang="en-US"/>
        </a:p>
      </c:txPr>
    </c:title>
    <c:autoTitleDeleted val="0"/>
    <c:plotArea>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35A9-4926-B709-4A0D7E41A18F}"/>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35A9-4926-B709-4A0D7E41A18F}"/>
              </c:ext>
            </c:extLst>
          </c:dPt>
          <c:dLbls>
            <c:spPr>
              <a:noFill/>
              <a:ln>
                <a:noFill/>
              </a:ln>
              <a:effectLst/>
            </c:spPr>
            <c:txPr>
              <a:bodyPr rot="0" spcFirstLastPara="1" vertOverflow="ellipsis" vert="horz" wrap="square" anchor="ctr" anchorCtr="1"/>
              <a:lstStyle/>
              <a:p>
                <a:pPr>
                  <a:defRPr sz="800" b="1" i="0" u="none" strike="noStrike" kern="1200" baseline="0">
                    <a:solidFill>
                      <a:srgbClr val="C00000"/>
                    </a:solidFill>
                    <a:latin typeface="BentonSans Regular" panose="02000503040000020004" pitchFamily="50"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SAMMURY!$A$136:$A$137</c:f>
              <c:strCache>
                <c:ptCount val="2"/>
                <c:pt idx="0">
                  <c:v>Increase</c:v>
                </c:pt>
                <c:pt idx="1">
                  <c:v>Decrease</c:v>
                </c:pt>
              </c:strCache>
            </c:strRef>
          </c:cat>
          <c:val>
            <c:numRef>
              <c:f>SAMMURY!$B$136:$B$137</c:f>
              <c:numCache>
                <c:formatCode>General</c:formatCode>
                <c:ptCount val="2"/>
                <c:pt idx="0">
                  <c:v>12</c:v>
                </c:pt>
                <c:pt idx="1">
                  <c:v>4</c:v>
                </c:pt>
              </c:numCache>
            </c:numRef>
          </c:val>
          <c:extLst>
            <c:ext xmlns:c16="http://schemas.microsoft.com/office/drawing/2014/chart" uri="{C3380CC4-5D6E-409C-BE32-E72D297353CC}">
              <c16:uniqueId val="{00000004-35A9-4926-B709-4A0D7E41A18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entonSans Regular" panose="02000503040000020004" pitchFamily="50" charset="0"/>
              <a:ea typeface="+mn-ea"/>
              <a:cs typeface="+mn-cs"/>
            </a:defRPr>
          </a:pPr>
          <a:endParaRPr lang="en-US"/>
        </a:p>
      </c:txPr>
    </c:legend>
    <c:plotVisOnly val="1"/>
    <c:dispBlanksAs val="gap"/>
    <c:showDLblsOverMax val="0"/>
  </c:chart>
  <c:spPr>
    <a:noFill/>
    <a:ln w="9525" cap="flat" cmpd="sng" algn="ctr">
      <a:solidFill>
        <a:sysClr val="windowText" lastClr="000000"/>
      </a:solidFill>
      <a:round/>
    </a:ln>
    <a:effectLst/>
  </c:spPr>
  <c:txPr>
    <a:bodyPr/>
    <a:lstStyle/>
    <a:p>
      <a:pPr>
        <a:defRPr sz="800">
          <a:latin typeface="BentonSans Regular" panose="02000503040000020004" pitchFamily="50"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BentonSans Regular" panose="02000503040000020004" pitchFamily="50" charset="0"/>
                <a:ea typeface="+mn-ea"/>
                <a:cs typeface="+mn-cs"/>
              </a:defRPr>
            </a:pPr>
            <a:r>
              <a:rPr lang="en-US" sz="1000" b="1">
                <a:solidFill>
                  <a:sysClr val="windowText" lastClr="000000"/>
                </a:solidFill>
              </a:rPr>
              <a:t>Expectations</a:t>
            </a:r>
            <a:r>
              <a:rPr lang="en-US" sz="1100" b="1">
                <a:solidFill>
                  <a:sysClr val="windowText" lastClr="000000"/>
                </a:solidFill>
              </a:rPr>
              <a:t> on Interest Rate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BentonSans Regular" panose="02000503040000020004" pitchFamily="50" charset="0"/>
              <a:ea typeface="+mn-ea"/>
              <a:cs typeface="+mn-cs"/>
            </a:defRPr>
          </a:pPr>
          <a:endParaRPr lang="en-US"/>
        </a:p>
      </c:txPr>
    </c:title>
    <c:autoTitleDeleted val="0"/>
    <c:plotArea>
      <c:layout/>
      <c:barChart>
        <c:barDir val="col"/>
        <c:grouping val="clustered"/>
        <c:varyColors val="0"/>
        <c:ser>
          <c:idx val="0"/>
          <c:order val="0"/>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rgbClr val="C00000"/>
                    </a:solidFill>
                    <a:latin typeface="BentonSans Regular" panose="02000503040000020004"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SAMMURY!$A$149:$A$151</c:f>
              <c:strCache>
                <c:ptCount val="3"/>
                <c:pt idx="0">
                  <c:v>Increase</c:v>
                </c:pt>
                <c:pt idx="1">
                  <c:v>Decrease</c:v>
                </c:pt>
                <c:pt idx="2">
                  <c:v>Remain unchanged</c:v>
                </c:pt>
              </c:strCache>
            </c:strRef>
          </c:cat>
          <c:val>
            <c:numRef>
              <c:f>SAMMURY!$B$149:$B$151</c:f>
              <c:numCache>
                <c:formatCode>General</c:formatCode>
                <c:ptCount val="3"/>
                <c:pt idx="0">
                  <c:v>1</c:v>
                </c:pt>
                <c:pt idx="1">
                  <c:v>4</c:v>
                </c:pt>
                <c:pt idx="2">
                  <c:v>11</c:v>
                </c:pt>
              </c:numCache>
            </c:numRef>
          </c:val>
          <c:extLst>
            <c:ext xmlns:c16="http://schemas.microsoft.com/office/drawing/2014/chart" uri="{C3380CC4-5D6E-409C-BE32-E72D297353CC}">
              <c16:uniqueId val="{00000000-8621-4D01-9B0D-DDB760F8B7CD}"/>
            </c:ext>
          </c:extLst>
        </c:ser>
        <c:dLbls>
          <c:showLegendKey val="0"/>
          <c:showVal val="0"/>
          <c:showCatName val="0"/>
          <c:showSerName val="0"/>
          <c:showPercent val="0"/>
          <c:showBubbleSize val="0"/>
        </c:dLbls>
        <c:gapWidth val="219"/>
        <c:overlap val="-27"/>
        <c:axId val="1152255007"/>
        <c:axId val="1152260415"/>
      </c:barChart>
      <c:catAx>
        <c:axId val="1152255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BentonSans Regular" panose="02000503040000020004" pitchFamily="50" charset="0"/>
                <a:ea typeface="+mn-ea"/>
                <a:cs typeface="+mn-cs"/>
              </a:defRPr>
            </a:pPr>
            <a:endParaRPr lang="en-US"/>
          </a:p>
        </c:txPr>
        <c:crossAx val="1152260415"/>
        <c:crosses val="autoZero"/>
        <c:auto val="1"/>
        <c:lblAlgn val="ctr"/>
        <c:lblOffset val="100"/>
        <c:noMultiLvlLbl val="0"/>
      </c:catAx>
      <c:valAx>
        <c:axId val="1152260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BentonSans Regular" panose="02000503040000020004" pitchFamily="50" charset="0"/>
                    <a:ea typeface="+mn-ea"/>
                    <a:cs typeface="+mn-cs"/>
                  </a:defRPr>
                </a:pPr>
                <a:r>
                  <a:rPr lang="en-US" b="1">
                    <a:solidFill>
                      <a:sysClr val="windowText" lastClr="000000"/>
                    </a:solidFill>
                  </a:rPr>
                  <a:t>Number of Banks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BentonSans Regular" panose="02000503040000020004" pitchFamily="50"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entonSans Regular" panose="02000503040000020004" pitchFamily="50" charset="0"/>
                <a:ea typeface="+mn-ea"/>
                <a:cs typeface="+mn-cs"/>
              </a:defRPr>
            </a:pPr>
            <a:endParaRPr lang="en-US"/>
          </a:p>
        </c:txPr>
        <c:crossAx val="1152255007"/>
        <c:crosses val="autoZero"/>
        <c:crossBetween val="between"/>
      </c:valAx>
      <c:spPr>
        <a:noFill/>
        <a:ln>
          <a:noFill/>
        </a:ln>
        <a:effectLst/>
      </c:spPr>
    </c:plotArea>
    <c:plotVisOnly val="1"/>
    <c:dispBlanksAs val="gap"/>
    <c:showDLblsOverMax val="0"/>
  </c:chart>
  <c:spPr>
    <a:noFill/>
    <a:ln w="9525" cap="flat" cmpd="sng" algn="ctr">
      <a:solidFill>
        <a:sysClr val="windowText" lastClr="000000"/>
      </a:solidFill>
      <a:round/>
    </a:ln>
    <a:effectLst/>
  </c:spPr>
  <c:txPr>
    <a:bodyPr/>
    <a:lstStyle/>
    <a:p>
      <a:pPr>
        <a:defRPr sz="1000">
          <a:latin typeface="BentonSans Regular" panose="02000503040000020004" pitchFamily="50" charset="0"/>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BentonSans Regular" panose="02000503040000020004" pitchFamily="50" charset="0"/>
                <a:ea typeface="+mn-ea"/>
                <a:cs typeface="+mn-cs"/>
              </a:defRPr>
            </a:pPr>
            <a:r>
              <a:rPr lang="en-US" sz="1000" b="1">
                <a:solidFill>
                  <a:sysClr val="windowText" lastClr="000000"/>
                </a:solidFill>
              </a:rPr>
              <a:t>Expectations</a:t>
            </a:r>
            <a:r>
              <a:rPr lang="en-US" sz="1100" b="1">
                <a:solidFill>
                  <a:sysClr val="windowText" lastClr="000000"/>
                </a:solidFill>
              </a:rPr>
              <a:t> on Interest Rate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BentonSans Regular" panose="02000503040000020004" pitchFamily="50" charset="0"/>
              <a:ea typeface="+mn-ea"/>
              <a:cs typeface="+mn-cs"/>
            </a:defRPr>
          </a:pPr>
          <a:endParaRPr lang="en-US"/>
        </a:p>
      </c:txPr>
    </c:title>
    <c:autoTitleDeleted val="0"/>
    <c:plotArea>
      <c:layout/>
      <c:barChart>
        <c:barDir val="col"/>
        <c:grouping val="clustered"/>
        <c:varyColors val="0"/>
        <c:ser>
          <c:idx val="0"/>
          <c:order val="0"/>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rgbClr val="C00000"/>
                    </a:solidFill>
                    <a:latin typeface="BentonSans Regular" panose="02000503040000020004"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SAMMURY!$A$149:$A$151</c:f>
              <c:strCache>
                <c:ptCount val="3"/>
                <c:pt idx="0">
                  <c:v>Increase</c:v>
                </c:pt>
                <c:pt idx="1">
                  <c:v>Decrease</c:v>
                </c:pt>
                <c:pt idx="2">
                  <c:v>Remain unchanged</c:v>
                </c:pt>
              </c:strCache>
            </c:strRef>
          </c:cat>
          <c:val>
            <c:numRef>
              <c:f>SAMMURY!$B$149:$B$151</c:f>
              <c:numCache>
                <c:formatCode>General</c:formatCode>
                <c:ptCount val="3"/>
                <c:pt idx="0">
                  <c:v>1</c:v>
                </c:pt>
                <c:pt idx="1">
                  <c:v>4</c:v>
                </c:pt>
                <c:pt idx="2">
                  <c:v>11</c:v>
                </c:pt>
              </c:numCache>
            </c:numRef>
          </c:val>
          <c:extLst>
            <c:ext xmlns:c16="http://schemas.microsoft.com/office/drawing/2014/chart" uri="{C3380CC4-5D6E-409C-BE32-E72D297353CC}">
              <c16:uniqueId val="{00000000-8621-4D01-9B0D-DDB760F8B7CD}"/>
            </c:ext>
          </c:extLst>
        </c:ser>
        <c:dLbls>
          <c:showLegendKey val="0"/>
          <c:showVal val="0"/>
          <c:showCatName val="0"/>
          <c:showSerName val="0"/>
          <c:showPercent val="0"/>
          <c:showBubbleSize val="0"/>
        </c:dLbls>
        <c:gapWidth val="219"/>
        <c:overlap val="-27"/>
        <c:axId val="1152255007"/>
        <c:axId val="1152260415"/>
      </c:barChart>
      <c:catAx>
        <c:axId val="1152255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BentonSans Regular" panose="02000503040000020004" pitchFamily="50" charset="0"/>
                <a:ea typeface="+mn-ea"/>
                <a:cs typeface="+mn-cs"/>
              </a:defRPr>
            </a:pPr>
            <a:endParaRPr lang="en-US"/>
          </a:p>
        </c:txPr>
        <c:crossAx val="1152260415"/>
        <c:crosses val="autoZero"/>
        <c:auto val="1"/>
        <c:lblAlgn val="ctr"/>
        <c:lblOffset val="100"/>
        <c:noMultiLvlLbl val="0"/>
      </c:catAx>
      <c:valAx>
        <c:axId val="1152260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BentonSans Regular" panose="02000503040000020004" pitchFamily="50" charset="0"/>
                    <a:ea typeface="+mn-ea"/>
                    <a:cs typeface="+mn-cs"/>
                  </a:defRPr>
                </a:pPr>
                <a:r>
                  <a:rPr lang="en-US" b="1">
                    <a:solidFill>
                      <a:sysClr val="windowText" lastClr="000000"/>
                    </a:solidFill>
                  </a:rPr>
                  <a:t>Number of Banks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BentonSans Regular" panose="02000503040000020004" pitchFamily="50"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entonSans Regular" panose="02000503040000020004" pitchFamily="50" charset="0"/>
                <a:ea typeface="+mn-ea"/>
                <a:cs typeface="+mn-cs"/>
              </a:defRPr>
            </a:pPr>
            <a:endParaRPr lang="en-US"/>
          </a:p>
        </c:txPr>
        <c:crossAx val="1152255007"/>
        <c:crosses val="autoZero"/>
        <c:crossBetween val="between"/>
      </c:valAx>
      <c:spPr>
        <a:noFill/>
        <a:ln>
          <a:noFill/>
        </a:ln>
        <a:effectLst/>
      </c:spPr>
    </c:plotArea>
    <c:plotVisOnly val="1"/>
    <c:dispBlanksAs val="gap"/>
    <c:showDLblsOverMax val="0"/>
  </c:chart>
  <c:spPr>
    <a:noFill/>
    <a:ln w="9525" cap="flat" cmpd="sng" algn="ctr">
      <a:solidFill>
        <a:sysClr val="windowText" lastClr="000000"/>
      </a:solidFill>
      <a:round/>
    </a:ln>
    <a:effectLst/>
  </c:spPr>
  <c:txPr>
    <a:bodyPr/>
    <a:lstStyle/>
    <a:p>
      <a:pPr>
        <a:defRPr sz="1000">
          <a:latin typeface="BentonSans Regular" panose="02000503040000020004" pitchFamily="50"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28B73-247F-41A0-B71C-773CDD331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5018</TotalTime>
  <Pages>10</Pages>
  <Words>1696</Words>
  <Characters>9673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fmurezi</dc:creator>
  <cp:keywords/>
  <dc:description/>
  <cp:lastModifiedBy>Alfred Hakuzwimana</cp:lastModifiedBy>
  <cp:revision>101</cp:revision>
  <cp:lastPrinted>2017-11-07T09:20:00Z</cp:lastPrinted>
  <dcterms:created xsi:type="dcterms:W3CDTF">2019-02-15T09:34:00Z</dcterms:created>
  <dcterms:modified xsi:type="dcterms:W3CDTF">2019-05-13T08:32:00Z</dcterms:modified>
</cp:coreProperties>
</file>