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charts/colors10.xml" ContentType="application/vnd.ms-office.chartcolorstyle+xml"/>
  <Override PartName="/word/charts/style10.xml" ContentType="application/vnd.ms-office.chartstyle+xml"/>
  <Override PartName="/word/theme/themeOverride20.xml" ContentType="application/vnd.openxmlformats-officedocument.themeOverride+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v:fill r:id="rId4" o:title="5%" type="pattern"/>
    </v:background>
  </w:background>
  <w:body>
    <w:p w:rsidR="00720190" w:rsidRPr="00E84183" w:rsidRDefault="00720190" w:rsidP="00AB69E4">
      <w:pPr>
        <w:pStyle w:val="NoSpacing1"/>
        <w:spacing w:line="276" w:lineRule="auto"/>
        <w:jc w:val="center"/>
        <w:rPr>
          <w:rFonts w:ascii="Bookman Old Style" w:hAnsi="Bookman Old Style"/>
        </w:rPr>
      </w:pPr>
      <w:r w:rsidRPr="00E84183">
        <w:rPr>
          <w:rFonts w:ascii="Bookman Old Style" w:hAnsi="Bookman Old Style"/>
          <w:noProof/>
        </w:rPr>
        <w:drawing>
          <wp:anchor distT="0" distB="0" distL="114300" distR="114300" simplePos="0" relativeHeight="251660288" behindDoc="0" locked="0" layoutInCell="1" allowOverlap="1" wp14:anchorId="36BFFCC4" wp14:editId="7E50C0C5">
            <wp:simplePos x="0" y="0"/>
            <wp:positionH relativeFrom="margin">
              <wp:posOffset>2278380</wp:posOffset>
            </wp:positionH>
            <wp:positionV relativeFrom="margin">
              <wp:posOffset>-304800</wp:posOffset>
            </wp:positionV>
            <wp:extent cx="1352550" cy="1352550"/>
            <wp:effectExtent l="0" t="0" r="0" b="0"/>
            <wp:wrapSquare wrapText="bothSides"/>
            <wp:docPr id="8" name="Picture 8" descr="D:\DOOSIERS DE PATRICK\NEW  B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OSIERS DE PATRICK\NEW  BN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rPr>
      </w:pPr>
    </w:p>
    <w:p w:rsidR="00720190" w:rsidRPr="00E84183" w:rsidRDefault="00720190" w:rsidP="00AB69E4">
      <w:pPr>
        <w:spacing w:after="0" w:line="276" w:lineRule="auto"/>
        <w:rPr>
          <w:rFonts w:ascii="Bookman Old Style" w:hAnsi="Bookman Old Style"/>
        </w:rPr>
      </w:pPr>
      <w:r w:rsidRPr="00E84183">
        <w:rPr>
          <w:rFonts w:ascii="Bookman Old Style" w:hAnsi="Bookman Old Style"/>
        </w:rPr>
        <w:t xml:space="preserve"> </w:t>
      </w:r>
    </w:p>
    <w:p w:rsidR="00720190" w:rsidRPr="00E84183" w:rsidRDefault="00960DB3" w:rsidP="00AB69E4">
      <w:pPr>
        <w:spacing w:after="0" w:line="276" w:lineRule="auto"/>
        <w:rPr>
          <w:rFonts w:ascii="Bookman Old Style" w:hAnsi="Bookman Old Style"/>
        </w:rPr>
      </w:pPr>
      <w:r w:rsidRPr="00E84183">
        <w:rPr>
          <w:rFonts w:ascii="Bookman Old Style" w:hAnsi="Bookman Old Style"/>
          <w:noProof/>
          <w:color w:val="FFC000"/>
        </w:rPr>
        <mc:AlternateContent>
          <mc:Choice Requires="wps">
            <w:drawing>
              <wp:anchor distT="0" distB="0" distL="114300" distR="114300" simplePos="0" relativeHeight="251661312" behindDoc="0" locked="0" layoutInCell="1" allowOverlap="1" wp14:anchorId="7B003009" wp14:editId="513FCDD1">
                <wp:simplePos x="0" y="0"/>
                <wp:positionH relativeFrom="column">
                  <wp:posOffset>573405</wp:posOffset>
                </wp:positionH>
                <wp:positionV relativeFrom="paragraph">
                  <wp:posOffset>167005</wp:posOffset>
                </wp:positionV>
                <wp:extent cx="5267325" cy="89535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003009" id="_x0000_t202" coordsize="21600,21600" o:spt="202" path="m,l,21600r21600,l21600,xe">
                <v:stroke joinstyle="miter"/>
                <v:path gradientshapeok="t" o:connecttype="rect"/>
              </v:shapetype>
              <v:shape id="Text Box 7" o:spid="_x0000_s1026" type="#_x0000_t202" style="position:absolute;margin-left:45.15pt;margin-top:13.15pt;width:4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" stroked="f" strokeweight=".5pt">
                <v:path arrowok="t"/>
                <v:textbo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v:textbox>
              </v:shape>
            </w:pict>
          </mc:Fallback>
        </mc:AlternateContent>
      </w:r>
    </w:p>
    <w:p w:rsidR="00720190" w:rsidRPr="00E84183" w:rsidRDefault="00720190" w:rsidP="00AB69E4">
      <w:pPr>
        <w:spacing w:after="0" w:line="276" w:lineRule="auto"/>
        <w:rPr>
          <w:rFonts w:ascii="Bookman Old Style" w:hAnsi="Bookman Old Style"/>
        </w:rPr>
      </w:pPr>
    </w:p>
    <w:p w:rsidR="00891E5E" w:rsidRPr="00E84183" w:rsidRDefault="00891E5E" w:rsidP="00AB69E4">
      <w:pPr>
        <w:spacing w:after="0" w:line="276" w:lineRule="auto"/>
        <w:rPr>
          <w:rFonts w:ascii="Bookman Old Style" w:hAnsi="Bookman Old Style"/>
          <w:b/>
        </w:rPr>
      </w:pPr>
    </w:p>
    <w:p w:rsidR="00891E5E" w:rsidRPr="00E84183" w:rsidRDefault="00891E5E" w:rsidP="00AB69E4">
      <w:pPr>
        <w:spacing w:after="0" w:line="276" w:lineRule="auto"/>
        <w:rPr>
          <w:rFonts w:ascii="Bookman Old Style" w:hAnsi="Bookman Old Style"/>
          <w:b/>
        </w:rPr>
      </w:pPr>
    </w:p>
    <w:p w:rsidR="00E84183" w:rsidRDefault="00E84183" w:rsidP="00AB69E4">
      <w:pPr>
        <w:spacing w:after="0" w:line="276" w:lineRule="auto"/>
        <w:jc w:val="center"/>
        <w:rPr>
          <w:rFonts w:ascii="Bookman Old Style" w:hAnsi="Bookman Old Style"/>
          <w:b/>
          <w:color w:val="0070C0"/>
        </w:rPr>
      </w:pPr>
    </w:p>
    <w:p w:rsidR="00E84183" w:rsidRDefault="00E84183" w:rsidP="00AB69E4">
      <w:pPr>
        <w:spacing w:after="0" w:line="276" w:lineRule="auto"/>
        <w:jc w:val="center"/>
        <w:rPr>
          <w:rFonts w:ascii="Bookman Old Style" w:hAnsi="Bookman Old Style"/>
          <w:b/>
          <w:color w:val="0070C0"/>
        </w:rPr>
      </w:pPr>
    </w:p>
    <w:p w:rsidR="00E84183" w:rsidRDefault="001C4946" w:rsidP="00AB69E4">
      <w:pPr>
        <w:spacing w:after="0" w:line="276" w:lineRule="auto"/>
        <w:jc w:val="center"/>
        <w:rPr>
          <w:rFonts w:ascii="Bookman Old Style" w:hAnsi="Bookman Old Style"/>
          <w:b/>
          <w:color w:val="0070C0"/>
        </w:rPr>
      </w:pPr>
      <w:r w:rsidRPr="00E84183">
        <w:rPr>
          <w:rFonts w:ascii="Bookman Old Style" w:hAnsi="Bookman Old Style"/>
          <w:noProof/>
        </w:rPr>
        <mc:AlternateContent>
          <mc:Choice Requires="wps">
            <w:drawing>
              <wp:anchor distT="0" distB="0" distL="114300" distR="114300" simplePos="0" relativeHeight="251662336" behindDoc="0" locked="0" layoutInCell="1" allowOverlap="1" wp14:anchorId="17C7B135" wp14:editId="62E5EF68">
                <wp:simplePos x="0" y="0"/>
                <wp:positionH relativeFrom="page">
                  <wp:posOffset>342900</wp:posOffset>
                </wp:positionH>
                <wp:positionV relativeFrom="margin">
                  <wp:posOffset>2276475</wp:posOffset>
                </wp:positionV>
                <wp:extent cx="7086600" cy="1733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733550"/>
                        </a:xfrm>
                        <a:prstGeom prst="rect">
                          <a:avLst/>
                        </a:prstGeom>
                        <a:solidFill>
                          <a:srgbClr val="FEBB00"/>
                        </a:solidFill>
                        <a:ln w="6350">
                          <a:solidFill>
                            <a:sysClr val="window" lastClr="FFFFFF">
                              <a:lumMod val="100000"/>
                              <a:lumOff val="0"/>
                            </a:sysClr>
                          </a:solidFill>
                          <a:miter lim="800000"/>
                          <a:headEnd/>
                          <a:tailEnd/>
                        </a:ln>
                      </wps:spPr>
                      <wps:txb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384385" w:rsidP="00384385">
                            <w:pPr>
                              <w:shd w:val="clear" w:color="auto" w:fill="CC9900"/>
                              <w:spacing w:after="0" w:line="240" w:lineRule="auto"/>
                              <w:jc w:val="center"/>
                              <w:rPr>
                                <w:rFonts w:ascii="BentonSans Bold" w:hAnsi="BentonSans Bold"/>
                                <w:b/>
                                <w:sz w:val="36"/>
                                <w:szCs w:val="40"/>
                              </w:rPr>
                            </w:pPr>
                            <w:r w:rsidRPr="005B2791">
                              <w:rPr>
                                <w:rFonts w:ascii="BentonSans Bold" w:hAnsi="BentonSans Bold"/>
                                <w:b/>
                                <w:sz w:val="36"/>
                                <w:szCs w:val="40"/>
                              </w:rPr>
                              <w:t>THIRD QUARTER</w:t>
                            </w:r>
                            <w:r w:rsidR="005B2791" w:rsidRPr="005B2791">
                              <w:rPr>
                                <w:rFonts w:ascii="BentonSans Bold" w:hAnsi="BentonSans Bold"/>
                                <w:b/>
                                <w:sz w:val="36"/>
                                <w:szCs w:val="40"/>
                              </w:rPr>
                              <w:t xml:space="preserve"> 2019</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7B135" id="Text Box 4" o:spid="_x0000_s1027" type="#_x0000_t202" style="position:absolute;left:0;text-align:left;margin-left:27pt;margin-top:179.25pt;width:558pt;height:1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" fillcolor="#febb00" strokecolor="white" strokeweight=".5pt">
                <v:path arrowok="t"/>
                <v:textbo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384385" w:rsidP="00384385">
                      <w:pPr>
                        <w:shd w:val="clear" w:color="auto" w:fill="CC9900"/>
                        <w:spacing w:after="0" w:line="240" w:lineRule="auto"/>
                        <w:jc w:val="center"/>
                        <w:rPr>
                          <w:rFonts w:ascii="BentonSans Bold" w:hAnsi="BentonSans Bold"/>
                          <w:b/>
                          <w:sz w:val="36"/>
                          <w:szCs w:val="40"/>
                        </w:rPr>
                      </w:pPr>
                      <w:r w:rsidRPr="005B2791">
                        <w:rPr>
                          <w:rFonts w:ascii="BentonSans Bold" w:hAnsi="BentonSans Bold"/>
                          <w:b/>
                          <w:sz w:val="36"/>
                          <w:szCs w:val="40"/>
                        </w:rPr>
                        <w:t>THIRD QUARTER</w:t>
                      </w:r>
                      <w:r w:rsidR="005B2791" w:rsidRPr="005B2791">
                        <w:rPr>
                          <w:rFonts w:ascii="BentonSans Bold" w:hAnsi="BentonSans Bold"/>
                          <w:b/>
                          <w:sz w:val="36"/>
                          <w:szCs w:val="40"/>
                        </w:rPr>
                        <w:t xml:space="preserve"> 2019</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v:textbox>
                <w10:wrap type="square" anchorx="page" anchory="margin"/>
              </v:shape>
            </w:pict>
          </mc:Fallback>
        </mc:AlternateContent>
      </w:r>
    </w:p>
    <w:p w:rsidR="00E35D50" w:rsidRDefault="00E35D50" w:rsidP="00AB69E4">
      <w:pPr>
        <w:spacing w:after="0" w:line="276" w:lineRule="auto"/>
        <w:jc w:val="center"/>
        <w:rPr>
          <w:rFonts w:ascii="Bookman Old Style" w:hAnsi="Bookman Old Style"/>
          <w:b/>
          <w:color w:val="0070C0"/>
        </w:rPr>
      </w:pPr>
    </w:p>
    <w:p w:rsidR="00E35D50" w:rsidRPr="00E35D50" w:rsidRDefault="00E35D50" w:rsidP="00AB69E4">
      <w:pPr>
        <w:spacing w:after="0"/>
        <w:rPr>
          <w:rFonts w:ascii="Bookman Old Style" w:hAnsi="Bookman Old Style"/>
        </w:rPr>
      </w:pPr>
      <w:r w:rsidRPr="00E84183">
        <w:rPr>
          <w:rFonts w:ascii="Bookman Old Style" w:hAnsi="Bookman Old Style"/>
          <w:noProof/>
        </w:rPr>
        <w:drawing>
          <wp:anchor distT="0" distB="0" distL="114300" distR="114300" simplePos="0" relativeHeight="251688960" behindDoc="0" locked="0" layoutInCell="1" allowOverlap="1" wp14:anchorId="2A1E489E" wp14:editId="66D49516">
            <wp:simplePos x="0" y="0"/>
            <wp:positionH relativeFrom="page">
              <wp:align>right</wp:align>
            </wp:positionH>
            <wp:positionV relativeFrom="page">
              <wp:align>bottom</wp:align>
            </wp:positionV>
            <wp:extent cx="7759282" cy="478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282"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50" w:rsidRPr="00E35D50" w:rsidRDefault="00E35D50" w:rsidP="00AB69E4">
      <w:pPr>
        <w:spacing w:after="0"/>
        <w:rPr>
          <w:rFonts w:ascii="Bookman Old Style" w:hAnsi="Bookman Old Style"/>
        </w:rPr>
        <w:sectPr w:rsidR="00E35D50" w:rsidRPr="00E35D50" w:rsidSect="001C4946">
          <w:pgSz w:w="12240" w:h="15840"/>
          <w:pgMar w:top="1260" w:right="1260" w:bottom="1350" w:left="1440" w:header="720" w:footer="720" w:gutter="0"/>
          <w:cols w:space="720"/>
          <w:docGrid w:linePitch="360"/>
        </w:sect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lastRenderedPageBreak/>
        <w:t>BNR IDENTITY STATEMENT</w:t>
      </w:r>
    </w:p>
    <w:p w:rsidR="001C0F90" w:rsidRPr="005B2791" w:rsidRDefault="001C0F90" w:rsidP="00AB69E4">
      <w:pPr>
        <w:spacing w:after="0" w:line="276" w:lineRule="auto"/>
        <w:jc w:val="center"/>
        <w:rPr>
          <w:rFonts w:ascii="BentonSans Book" w:hAnsi="BentonSans Book"/>
          <w:b/>
          <w:color w:val="0070C0"/>
        </w:rPr>
      </w:pPr>
    </w:p>
    <w:p w:rsidR="001C0F90" w:rsidRDefault="001C0F90" w:rsidP="00AB69E4">
      <w:pPr>
        <w:spacing w:after="0" w:line="276" w:lineRule="auto"/>
        <w:jc w:val="both"/>
        <w:rPr>
          <w:rFonts w:ascii="BentonSans Book" w:hAnsi="BentonSans Book"/>
        </w:rPr>
      </w:pPr>
      <w:r w:rsidRPr="005B2791">
        <w:rPr>
          <w:rFonts w:ascii="BentonSans Book" w:hAnsi="BentonSans Book"/>
        </w:rPr>
        <w:t xml:space="preserve">The National Bank of Rwanda strives to become a world class Central Bank that contributes to the economic growth and development by using robust monetary policy tools to maintain stable market prices. The bank embraces innovation, diversity and inclusiveness, economic integration and ensures financial stability in a free market economy.  </w:t>
      </w:r>
    </w:p>
    <w:p w:rsidR="005B2791" w:rsidRPr="005B2791" w:rsidRDefault="005B2791" w:rsidP="00AB69E4">
      <w:pPr>
        <w:spacing w:after="0" w:line="276" w:lineRule="auto"/>
        <w:jc w:val="both"/>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MISSION AND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Vision of the Bank is to become a World-Class Central Bank</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Mission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mission of the Bank is to ensure price stability and a sound financial system</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The Bank’s Core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b/>
          <w:color w:val="0070C0"/>
        </w:rPr>
      </w:pPr>
      <w:r w:rsidRPr="005B2791">
        <w:rPr>
          <w:rFonts w:ascii="BentonSans Bold" w:hAnsi="BentonSans Bold"/>
          <w:b/>
          <w:color w:val="0070C0"/>
        </w:rPr>
        <w:t>Integrity</w:t>
      </w: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uphold high moral, ethical and professional standards for our people, systems and data</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Accountability</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rPr>
          <w:rFonts w:ascii="BentonSans Book" w:hAnsi="BentonSans Book"/>
        </w:rPr>
      </w:pPr>
      <w:r w:rsidRPr="005B2791">
        <w:rPr>
          <w:rFonts w:ascii="BentonSans Book" w:hAnsi="BentonSans Book"/>
        </w:rPr>
        <w:t xml:space="preserve">We are results-focused and transparent, and we reward according to performance </w:t>
      </w:r>
    </w:p>
    <w:p w:rsidR="001C0F90" w:rsidRPr="005B2791" w:rsidRDefault="001C0F90" w:rsidP="00AB69E4">
      <w:pPr>
        <w:spacing w:after="0" w:line="276" w:lineRule="auto"/>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Mutual-respect and Team-work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keep ourselves in high spirit, committed to each other for success</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Excellence</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passionately strive to deliver quality services in a timely and cost effective manner</w:t>
      </w:r>
    </w:p>
    <w:p w:rsidR="001C0F90" w:rsidRPr="005B2791" w:rsidRDefault="001C0F90" w:rsidP="00AB69E4">
      <w:pPr>
        <w:spacing w:after="0" w:line="276" w:lineRule="auto"/>
        <w:jc w:val="center"/>
        <w:rPr>
          <w:rFonts w:ascii="BentonSans Book" w:hAnsi="BentonSans Book"/>
        </w:rPr>
      </w:pPr>
    </w:p>
    <w:p w:rsidR="007D77D4" w:rsidRPr="005B2791" w:rsidRDefault="007D77D4" w:rsidP="00AB69E4">
      <w:pPr>
        <w:spacing w:after="0" w:line="276" w:lineRule="auto"/>
        <w:rPr>
          <w:rFonts w:ascii="BentonSans Book" w:hAnsi="BentonSans Book"/>
          <w:b/>
        </w:rPr>
      </w:pPr>
    </w:p>
    <w:p w:rsidR="00E35D50" w:rsidRDefault="00E35D50" w:rsidP="00AB69E4">
      <w:pPr>
        <w:spacing w:after="0" w:line="276" w:lineRule="auto"/>
        <w:rPr>
          <w:rFonts w:ascii="Bookman Old Style" w:hAnsi="Bookman Old Style"/>
          <w:b/>
        </w:rPr>
        <w:sectPr w:rsidR="00E35D50" w:rsidSect="00A9267E">
          <w:footerReference w:type="default" r:id="rId11"/>
          <w:pgSz w:w="12240" w:h="15840"/>
          <w:pgMar w:top="126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pPr>
    </w:p>
    <w:p w:rsidR="00384385" w:rsidRPr="00394D79" w:rsidRDefault="00384385" w:rsidP="00384385">
      <w:pPr>
        <w:jc w:val="both"/>
        <w:rPr>
          <w:rFonts w:ascii="BentonSans Bold" w:hAnsi="BentonSans Bold"/>
          <w:b/>
        </w:rPr>
      </w:pPr>
      <w:r w:rsidRPr="005B2791">
        <w:rPr>
          <w:rFonts w:ascii="BentonSans Bold" w:hAnsi="BentonSans Bold"/>
          <w:b/>
        </w:rPr>
        <w:lastRenderedPageBreak/>
        <w:t xml:space="preserve">1. </w:t>
      </w:r>
      <w:r w:rsidR="005B2791">
        <w:rPr>
          <w:rFonts w:ascii="BentonSans Bold" w:hAnsi="BentonSans Bold"/>
          <w:b/>
        </w:rPr>
        <w:t>Introduction</w:t>
      </w:r>
    </w:p>
    <w:p w:rsidR="003740EA" w:rsidRPr="00394D79" w:rsidRDefault="0071402A" w:rsidP="003740EA">
      <w:pPr>
        <w:spacing w:before="83" w:after="165" w:line="360" w:lineRule="auto"/>
        <w:ind w:right="149"/>
        <w:jc w:val="both"/>
        <w:rPr>
          <w:rFonts w:ascii="BentonSans Book" w:hAnsi="BentonSans Book"/>
        </w:rPr>
      </w:pPr>
      <w:r w:rsidRPr="00394D79">
        <w:rPr>
          <w:rFonts w:ascii="BentonSans Book" w:hAnsi="BentonSans Book"/>
        </w:rPr>
        <w:t xml:space="preserve">Since its introduction in </w:t>
      </w:r>
      <w:r w:rsidR="00394D79">
        <w:rPr>
          <w:rFonts w:ascii="BentonSans Book" w:hAnsi="BentonSans Book"/>
        </w:rPr>
        <w:t>March 2017</w:t>
      </w:r>
      <w:r w:rsidRPr="00394D79">
        <w:rPr>
          <w:rFonts w:ascii="BentonSans Book" w:hAnsi="BentonSans Book"/>
        </w:rPr>
        <w:t xml:space="preserve">, the bank lending survey has become an important </w:t>
      </w:r>
      <w:r w:rsidR="003740EA">
        <w:rPr>
          <w:rFonts w:ascii="BentonSans Book" w:hAnsi="BentonSans Book"/>
        </w:rPr>
        <w:t xml:space="preserve">tool for analyzing the </w:t>
      </w:r>
      <w:r w:rsidRPr="00394D79">
        <w:rPr>
          <w:rFonts w:ascii="BentonSans Book" w:hAnsi="BentonSans Book"/>
        </w:rPr>
        <w:t>bank</w:t>
      </w:r>
      <w:r w:rsidR="003740EA">
        <w:rPr>
          <w:rFonts w:ascii="BentonSans Book" w:hAnsi="BentonSans Book"/>
        </w:rPr>
        <w:t>s’</w:t>
      </w:r>
      <w:r w:rsidRPr="00394D79">
        <w:rPr>
          <w:rFonts w:ascii="BentonSans Book" w:hAnsi="BentonSans Book"/>
        </w:rPr>
        <w:t xml:space="preserve"> lending conditions</w:t>
      </w:r>
      <w:r w:rsidR="003740EA">
        <w:rPr>
          <w:rFonts w:ascii="BentonSans Book" w:hAnsi="BentonSans Book"/>
        </w:rPr>
        <w:t xml:space="preserve"> on Rwandan credit market. </w:t>
      </w:r>
      <w:r w:rsidR="003740EA" w:rsidRPr="00394D79">
        <w:rPr>
          <w:rFonts w:ascii="BentonSans Book" w:hAnsi="BentonSans Book"/>
        </w:rPr>
        <w:t xml:space="preserve">The </w:t>
      </w:r>
      <w:r w:rsidR="003740EA">
        <w:rPr>
          <w:rFonts w:ascii="BentonSans Book" w:hAnsi="BentonSans Book"/>
        </w:rPr>
        <w:t>credit s</w:t>
      </w:r>
      <w:r w:rsidR="003740EA" w:rsidRPr="00394D79">
        <w:rPr>
          <w:rFonts w:ascii="BentonSans Book" w:hAnsi="BentonSans Book"/>
        </w:rPr>
        <w:t xml:space="preserve">urvey aims to gain greater knowledge of bank lending conditions in </w:t>
      </w:r>
      <w:r w:rsidR="003740EA">
        <w:rPr>
          <w:rFonts w:ascii="BentonSans Book" w:hAnsi="BentonSans Book"/>
        </w:rPr>
        <w:t>Rwanda by capturing</w:t>
      </w:r>
      <w:r w:rsidRPr="00394D79">
        <w:rPr>
          <w:rFonts w:ascii="BentonSans Book" w:hAnsi="BentonSans Book"/>
        </w:rPr>
        <w:t xml:space="preserve"> qualitative information on </w:t>
      </w:r>
      <w:r w:rsidR="003740EA">
        <w:rPr>
          <w:rFonts w:ascii="BentonSans Book" w:hAnsi="BentonSans Book"/>
        </w:rPr>
        <w:t xml:space="preserve">the demand and supply of credit to enterprises and households, </w:t>
      </w:r>
      <w:r w:rsidR="003740EA" w:rsidRPr="00394D79">
        <w:rPr>
          <w:rFonts w:ascii="BentonSans Book" w:hAnsi="BentonSans Book"/>
        </w:rPr>
        <w:t xml:space="preserve">thereby complementing the information available on </w:t>
      </w:r>
      <w:r w:rsidR="003740EA">
        <w:rPr>
          <w:rFonts w:ascii="BentonSans Book" w:hAnsi="BentonSans Book"/>
        </w:rPr>
        <w:t>the nominal amount</w:t>
      </w:r>
      <w:r w:rsidR="003740EA" w:rsidRPr="00394D79">
        <w:rPr>
          <w:rFonts w:ascii="BentonSans Book" w:hAnsi="BentonSans Book"/>
        </w:rPr>
        <w:t xml:space="preserve"> and interest rates.</w:t>
      </w:r>
    </w:p>
    <w:p w:rsidR="00B6693F" w:rsidRPr="00394D79" w:rsidRDefault="00384385" w:rsidP="00384385">
      <w:pPr>
        <w:pStyle w:val="NormalWeb"/>
        <w:spacing w:before="120" w:after="120" w:line="360" w:lineRule="auto"/>
        <w:jc w:val="both"/>
        <w:rPr>
          <w:rFonts w:ascii="BentonSans Book" w:hAnsi="BentonSans Book"/>
          <w:sz w:val="22"/>
        </w:rPr>
      </w:pPr>
      <w:r w:rsidRPr="00394D79">
        <w:rPr>
          <w:rFonts w:ascii="BentonSans Book" w:hAnsi="BentonSans Book"/>
          <w:sz w:val="22"/>
        </w:rPr>
        <w:t xml:space="preserve">In line with the </w:t>
      </w:r>
      <w:r w:rsidR="00E75DAD" w:rsidRPr="00394D79">
        <w:rPr>
          <w:rFonts w:ascii="BentonSans Book" w:hAnsi="BentonSans Book"/>
          <w:sz w:val="22"/>
        </w:rPr>
        <w:t>above mentioned objective</w:t>
      </w:r>
      <w:r w:rsidR="00B9066A">
        <w:rPr>
          <w:rFonts w:ascii="BentonSans Book" w:hAnsi="BentonSans Book"/>
          <w:sz w:val="22"/>
        </w:rPr>
        <w:t>,</w:t>
      </w:r>
      <w:r w:rsidRPr="00394D79">
        <w:rPr>
          <w:rFonts w:ascii="BentonSans Book" w:hAnsi="BentonSans Book"/>
          <w:sz w:val="22"/>
        </w:rPr>
        <w:t xml:space="preserve"> banks were asked about trends and developments in credit conditions </w:t>
      </w:r>
      <w:r w:rsidR="00B6693F">
        <w:rPr>
          <w:rFonts w:ascii="BentonSans Book" w:hAnsi="BentonSans Book"/>
          <w:sz w:val="22"/>
        </w:rPr>
        <w:t>in the first nine months of 2019</w:t>
      </w:r>
      <w:r w:rsidRPr="00394D79">
        <w:rPr>
          <w:rFonts w:ascii="BentonSans Book" w:hAnsi="BentonSans Book"/>
          <w:sz w:val="22"/>
        </w:rPr>
        <w:t xml:space="preserve"> relati</w:t>
      </w:r>
      <w:r w:rsidR="00B6693F">
        <w:rPr>
          <w:rFonts w:ascii="BentonSans Book" w:hAnsi="BentonSans Book"/>
          <w:sz w:val="22"/>
        </w:rPr>
        <w:t>ve to the first nine months 2018</w:t>
      </w:r>
      <w:r w:rsidRPr="00394D79">
        <w:rPr>
          <w:rFonts w:ascii="BentonSans Book" w:hAnsi="BentonSans Book"/>
          <w:sz w:val="22"/>
        </w:rPr>
        <w:t>, and prospects for the subsequent quarter ending December 201</w:t>
      </w:r>
      <w:r w:rsidR="00B6693F">
        <w:rPr>
          <w:rFonts w:ascii="BentonSans Book" w:hAnsi="BentonSans Book"/>
          <w:sz w:val="22"/>
        </w:rPr>
        <w:t>9</w:t>
      </w:r>
      <w:r w:rsidRPr="00394D79">
        <w:rPr>
          <w:rFonts w:ascii="BentonSans Book" w:hAnsi="BentonSans Book"/>
          <w:sz w:val="22"/>
        </w:rPr>
        <w:t xml:space="preserve">. This </w:t>
      </w:r>
      <w:r w:rsidR="00B6693F">
        <w:rPr>
          <w:rFonts w:ascii="BentonSans Book" w:hAnsi="BentonSans Book"/>
          <w:sz w:val="22"/>
        </w:rPr>
        <w:t xml:space="preserve">credit survey </w:t>
      </w:r>
      <w:r w:rsidRPr="00394D79">
        <w:rPr>
          <w:rFonts w:ascii="BentonSans Book" w:hAnsi="BentonSans Book"/>
          <w:sz w:val="22"/>
        </w:rPr>
        <w:t>report</w:t>
      </w:r>
      <w:r w:rsidR="00B6693F">
        <w:rPr>
          <w:rFonts w:ascii="BentonSans Book" w:hAnsi="BentonSans Book"/>
          <w:sz w:val="22"/>
        </w:rPr>
        <w:t xml:space="preserve"> presents the results of the Q3 </w:t>
      </w:r>
      <w:r w:rsidRPr="00394D79">
        <w:rPr>
          <w:rFonts w:ascii="BentonSans Book" w:hAnsi="BentonSans Book"/>
          <w:sz w:val="22"/>
        </w:rPr>
        <w:t>201</w:t>
      </w:r>
      <w:r w:rsidR="00B6693F">
        <w:rPr>
          <w:rFonts w:ascii="BentonSans Book" w:hAnsi="BentonSans Book"/>
          <w:sz w:val="22"/>
        </w:rPr>
        <w:t>9</w:t>
      </w:r>
      <w:r w:rsidRPr="00394D79">
        <w:rPr>
          <w:rFonts w:ascii="BentonSans Book" w:hAnsi="BentonSans Book"/>
          <w:sz w:val="22"/>
        </w:rPr>
        <w:t xml:space="preserve"> </w:t>
      </w:r>
      <w:r w:rsidR="00B6693F">
        <w:rPr>
          <w:rFonts w:ascii="BentonSans Book" w:hAnsi="BentonSans Book"/>
          <w:sz w:val="22"/>
        </w:rPr>
        <w:t>survey conducted from October 14</w:t>
      </w:r>
      <w:r w:rsidRPr="00394D79">
        <w:rPr>
          <w:rFonts w:ascii="BentonSans Book" w:hAnsi="BentonSans Book"/>
          <w:sz w:val="22"/>
        </w:rPr>
        <w:t xml:space="preserve"> to 18, 2018. The qualitative information contained in the survey are based on lenders’ own responses to the survey, and do not necessarily reflect the </w:t>
      </w:r>
      <w:r w:rsidR="00B6693F">
        <w:rPr>
          <w:rFonts w:ascii="BentonSans Book" w:hAnsi="BentonSans Book"/>
          <w:sz w:val="22"/>
        </w:rPr>
        <w:t>NBR</w:t>
      </w:r>
      <w:r w:rsidRPr="00394D79">
        <w:rPr>
          <w:rFonts w:ascii="BentonSans Book" w:hAnsi="BentonSans Book"/>
          <w:sz w:val="22"/>
        </w:rPr>
        <w:t xml:space="preserve">’s views on credit conditions. </w:t>
      </w:r>
    </w:p>
    <w:p w:rsidR="00E75BAA" w:rsidRPr="0061513A" w:rsidRDefault="0061513A" w:rsidP="00E75BAA">
      <w:pPr>
        <w:jc w:val="both"/>
        <w:rPr>
          <w:rFonts w:ascii="BentonSans Bold" w:hAnsi="BentonSans Bold"/>
          <w:b/>
        </w:rPr>
      </w:pPr>
      <w:r>
        <w:rPr>
          <w:rFonts w:ascii="BentonSans Bold" w:hAnsi="BentonSans Bold"/>
          <w:b/>
        </w:rPr>
        <w:t>2</w:t>
      </w:r>
      <w:r w:rsidR="00E75BAA" w:rsidRPr="0061513A">
        <w:rPr>
          <w:rFonts w:ascii="BentonSans Bold" w:hAnsi="BentonSans Bold"/>
          <w:b/>
        </w:rPr>
        <w:t xml:space="preserve">. </w:t>
      </w:r>
      <w:r>
        <w:rPr>
          <w:rFonts w:ascii="BentonSans Bold" w:hAnsi="BentonSans Bold"/>
          <w:b/>
        </w:rPr>
        <w:t xml:space="preserve">The Survey </w:t>
      </w:r>
      <w:r w:rsidR="00E75BAA" w:rsidRPr="0061513A">
        <w:rPr>
          <w:rFonts w:ascii="BentonSans Bold" w:hAnsi="BentonSans Bold"/>
          <w:b/>
        </w:rPr>
        <w:t>Findings</w:t>
      </w:r>
    </w:p>
    <w:p w:rsidR="00E75BAA" w:rsidRPr="0061513A" w:rsidRDefault="0061513A" w:rsidP="00E75BAA">
      <w:pPr>
        <w:jc w:val="both"/>
        <w:rPr>
          <w:rFonts w:ascii="BentonSans Bold" w:hAnsi="BentonSans Bold"/>
          <w:b/>
        </w:rPr>
      </w:pPr>
      <w:r>
        <w:rPr>
          <w:rFonts w:ascii="BentonSans Bold" w:hAnsi="BentonSans Bold"/>
          <w:b/>
        </w:rPr>
        <w:t xml:space="preserve">2.1 </w:t>
      </w:r>
      <w:r w:rsidR="00E75BAA" w:rsidRPr="0061513A">
        <w:rPr>
          <w:rFonts w:ascii="BentonSans Bold" w:hAnsi="BentonSans Bold"/>
          <w:b/>
        </w:rPr>
        <w:t>The Demand for Credit</w:t>
      </w:r>
    </w:p>
    <w:p w:rsidR="00815AA7" w:rsidRPr="00D2519B" w:rsidRDefault="00B6693F" w:rsidP="00815AA7">
      <w:pPr>
        <w:spacing w:line="360" w:lineRule="auto"/>
        <w:jc w:val="both"/>
        <w:rPr>
          <w:rFonts w:ascii="BentonSans Book" w:hAnsi="BentonSans Book"/>
        </w:rPr>
      </w:pPr>
      <w:r>
        <w:rPr>
          <w:rFonts w:ascii="BentonSans Book" w:hAnsi="BentonSans Book"/>
        </w:rPr>
        <w:t xml:space="preserve">The demand for credit is proxied by the loans applications </w:t>
      </w:r>
      <w:r w:rsidR="002920DB">
        <w:rPr>
          <w:rFonts w:ascii="BentonSans Book" w:hAnsi="BentonSans Book"/>
        </w:rPr>
        <w:t>(</w:t>
      </w:r>
      <w:r>
        <w:rPr>
          <w:rFonts w:ascii="BentonSans Book" w:hAnsi="BentonSans Book"/>
        </w:rPr>
        <w:t>either in value or volume</w:t>
      </w:r>
      <w:r w:rsidR="002920DB">
        <w:rPr>
          <w:rFonts w:ascii="BentonSans Book" w:hAnsi="BentonSans Book"/>
        </w:rPr>
        <w:t>)</w:t>
      </w:r>
      <w:r>
        <w:rPr>
          <w:rFonts w:ascii="BentonSans Book" w:hAnsi="BentonSans Book"/>
        </w:rPr>
        <w:t>. For the purpose of this survey, l</w:t>
      </w:r>
      <w:r w:rsidR="00815AA7" w:rsidRPr="00D2519B">
        <w:rPr>
          <w:rFonts w:ascii="BentonSans Book" w:hAnsi="BentonSans Book"/>
        </w:rPr>
        <w:t>oan applications refer to financing needs of new or existing customers of a bank as indicated by formal loan applications  received during a specified period of time independent of whether these applications will result in a loan or not. By compiling data on loan applications, either in val</w:t>
      </w:r>
      <w:r>
        <w:rPr>
          <w:rFonts w:ascii="BentonSans Book" w:hAnsi="BentonSans Book"/>
        </w:rPr>
        <w:t xml:space="preserve">ue or volume, </w:t>
      </w:r>
      <w:r w:rsidR="00815AA7">
        <w:rPr>
          <w:rFonts w:ascii="BentonSans Book" w:hAnsi="BentonSans Book"/>
        </w:rPr>
        <w:t xml:space="preserve"> the </w:t>
      </w:r>
      <w:r w:rsidR="002920DB">
        <w:rPr>
          <w:rFonts w:ascii="BentonSans Book" w:hAnsi="BentonSans Book"/>
        </w:rPr>
        <w:t xml:space="preserve">loans </w:t>
      </w:r>
      <w:r w:rsidR="00815AA7">
        <w:rPr>
          <w:rFonts w:ascii="BentonSans Book" w:hAnsi="BentonSans Book"/>
        </w:rPr>
        <w:t>applications</w:t>
      </w:r>
      <w:r w:rsidR="00815AA7" w:rsidRPr="00D2519B">
        <w:rPr>
          <w:rFonts w:ascii="BentonSans Book" w:hAnsi="BentonSans Book"/>
        </w:rPr>
        <w:t xml:space="preserve"> that were</w:t>
      </w:r>
      <w:r w:rsidR="00815AA7">
        <w:rPr>
          <w:rFonts w:ascii="BentonSans Book" w:hAnsi="BentonSans Book"/>
        </w:rPr>
        <w:t xml:space="preserve"> or are to be </w:t>
      </w:r>
      <w:r w:rsidR="00815AA7" w:rsidRPr="00D2519B">
        <w:rPr>
          <w:rFonts w:ascii="BentonSans Book" w:hAnsi="BentonSans Book"/>
        </w:rPr>
        <w:t xml:space="preserve">scrutinized </w:t>
      </w:r>
      <w:r w:rsidR="00815AA7">
        <w:rPr>
          <w:rFonts w:ascii="BentonSans Book" w:hAnsi="BentonSans Book"/>
        </w:rPr>
        <w:t xml:space="preserve">at </w:t>
      </w:r>
      <w:r w:rsidR="00815AA7" w:rsidRPr="00D2519B">
        <w:rPr>
          <w:rFonts w:ascii="BentonSans Book" w:hAnsi="BentonSans Book"/>
          <w:bCs/>
        </w:rPr>
        <w:t xml:space="preserve">the </w:t>
      </w:r>
      <w:r w:rsidR="002920DB">
        <w:rPr>
          <w:rFonts w:ascii="BentonSans Book" w:hAnsi="BentonSans Book"/>
          <w:bCs/>
        </w:rPr>
        <w:t xml:space="preserve">bank </w:t>
      </w:r>
      <w:r w:rsidR="00815AA7">
        <w:rPr>
          <w:rFonts w:ascii="BentonSans Book" w:hAnsi="BentonSans Book"/>
          <w:bCs/>
        </w:rPr>
        <w:t xml:space="preserve">board level, </w:t>
      </w:r>
      <w:r w:rsidR="002920DB">
        <w:rPr>
          <w:rFonts w:ascii="BentonSans Book" w:hAnsi="BentonSans Book"/>
          <w:bCs/>
        </w:rPr>
        <w:t xml:space="preserve">bank </w:t>
      </w:r>
      <w:r w:rsidR="00815AA7">
        <w:rPr>
          <w:rFonts w:ascii="BentonSans Book" w:hAnsi="BentonSans Book"/>
          <w:bCs/>
        </w:rPr>
        <w:t>credit committee level,</w:t>
      </w:r>
      <w:r w:rsidR="00815AA7" w:rsidRPr="00D2519B">
        <w:rPr>
          <w:rFonts w:ascii="BentonSans Book" w:hAnsi="BentonSans Book"/>
          <w:bCs/>
        </w:rPr>
        <w:t xml:space="preserve"> </w:t>
      </w:r>
      <w:r w:rsidR="00815AA7">
        <w:rPr>
          <w:rFonts w:ascii="BentonSans Book" w:hAnsi="BentonSans Book"/>
          <w:bCs/>
        </w:rPr>
        <w:t>branch</w:t>
      </w:r>
      <w:r w:rsidR="00815AA7" w:rsidRPr="00D2519B">
        <w:rPr>
          <w:rFonts w:ascii="BentonSans Book" w:hAnsi="BentonSans Book"/>
          <w:bCs/>
        </w:rPr>
        <w:t xml:space="preserve"> </w:t>
      </w:r>
      <w:r w:rsidR="00815AA7">
        <w:rPr>
          <w:rFonts w:ascii="BentonSans Book" w:hAnsi="BentonSans Book"/>
          <w:bCs/>
        </w:rPr>
        <w:t xml:space="preserve">level or </w:t>
      </w:r>
      <w:r w:rsidR="00815AA7">
        <w:rPr>
          <w:rFonts w:ascii="BentonSans Book" w:hAnsi="BentonSans Book"/>
        </w:rPr>
        <w:t>any other approval level as per the individual bank procedures</w:t>
      </w:r>
      <w:r>
        <w:rPr>
          <w:rFonts w:ascii="BentonSans Book" w:hAnsi="BentonSans Book"/>
        </w:rPr>
        <w:t xml:space="preserve"> are considered</w:t>
      </w:r>
      <w:r w:rsidR="00815AA7">
        <w:rPr>
          <w:rFonts w:ascii="BentonSans Book" w:hAnsi="BentonSans Book"/>
        </w:rPr>
        <w:t>.</w:t>
      </w:r>
      <w:r w:rsidR="002920DB">
        <w:rPr>
          <w:rFonts w:ascii="BentonSans Book" w:hAnsi="BentonSans Book"/>
        </w:rPr>
        <w:t xml:space="preserve"> </w:t>
      </w:r>
      <w:r w:rsidR="00815AA7" w:rsidRPr="00D2519B">
        <w:rPr>
          <w:rFonts w:ascii="BentonSans Book" w:hAnsi="BentonSans Book"/>
        </w:rPr>
        <w:t>Further, loan applications from existing clients</w:t>
      </w:r>
      <w:r w:rsidR="002920DB">
        <w:rPr>
          <w:rFonts w:ascii="BentonSans Book" w:hAnsi="BentonSans Book"/>
        </w:rPr>
        <w:t xml:space="preserve"> are also counted. </w:t>
      </w:r>
      <w:r w:rsidR="00815AA7" w:rsidRPr="00D2519B">
        <w:rPr>
          <w:rFonts w:ascii="BentonSans Book" w:hAnsi="BentonSans Book"/>
        </w:rPr>
        <w:t xml:space="preserve">These include cases when the amount of an ongoing loan increases by a top up or a new loan is granted.  However, modified loans which only lead to a change in the terms and conditions of the loan other than the loan size </w:t>
      </w:r>
      <w:r w:rsidR="002920DB">
        <w:rPr>
          <w:rFonts w:ascii="BentonSans Book" w:hAnsi="BentonSans Book"/>
        </w:rPr>
        <w:t>are not</w:t>
      </w:r>
      <w:r w:rsidR="00815AA7" w:rsidRPr="00D2519B">
        <w:rPr>
          <w:rFonts w:ascii="BentonSans Book" w:hAnsi="BentonSans Book"/>
        </w:rPr>
        <w:t xml:space="preserve"> considered.  Interb</w:t>
      </w:r>
      <w:r w:rsidR="002920DB">
        <w:rPr>
          <w:rFonts w:ascii="BentonSans Book" w:hAnsi="BentonSans Book"/>
        </w:rPr>
        <w:t>ank loans and commitments are also</w:t>
      </w:r>
      <w:r w:rsidR="00815AA7" w:rsidRPr="00D2519B">
        <w:rPr>
          <w:rFonts w:ascii="BentonSans Book" w:hAnsi="BentonSans Book"/>
        </w:rPr>
        <w:t xml:space="preserve"> excluded. </w:t>
      </w:r>
    </w:p>
    <w:p w:rsidR="00E75BAA" w:rsidRPr="00815AA7" w:rsidRDefault="00671164" w:rsidP="00E75BAA">
      <w:pPr>
        <w:spacing w:line="360" w:lineRule="auto"/>
        <w:jc w:val="both"/>
        <w:rPr>
          <w:rFonts w:ascii="BentonSans Book" w:hAnsi="BentonSans Book"/>
        </w:rPr>
      </w:pPr>
      <w:r>
        <w:rPr>
          <w:rFonts w:ascii="BentonSans Book" w:hAnsi="BentonSans Book"/>
        </w:rPr>
        <w:t>As banks predicted during the previous quarter</w:t>
      </w:r>
      <w:r w:rsidR="00C40AA4">
        <w:rPr>
          <w:rFonts w:ascii="BentonSans Book" w:hAnsi="BentonSans Book"/>
        </w:rPr>
        <w:t xml:space="preserve">, the </w:t>
      </w:r>
      <w:r w:rsidR="002920DB">
        <w:rPr>
          <w:rFonts w:ascii="BentonSans Book" w:hAnsi="BentonSans Book"/>
        </w:rPr>
        <w:t>d</w:t>
      </w:r>
      <w:r w:rsidR="00C40AA4">
        <w:rPr>
          <w:rFonts w:ascii="BentonSans Book" w:hAnsi="BentonSans Book"/>
        </w:rPr>
        <w:t>emand f</w:t>
      </w:r>
      <w:r w:rsidR="002920DB">
        <w:rPr>
          <w:rFonts w:ascii="BentonSans Book" w:hAnsi="BentonSans Book"/>
        </w:rPr>
        <w:t>o</w:t>
      </w:r>
      <w:r w:rsidR="00C40AA4">
        <w:rPr>
          <w:rFonts w:ascii="BentonSans Book" w:hAnsi="BentonSans Book"/>
        </w:rPr>
        <w:t>r</w:t>
      </w:r>
      <w:r w:rsidR="002920DB">
        <w:rPr>
          <w:rFonts w:ascii="BentonSans Book" w:hAnsi="BentonSans Book"/>
        </w:rPr>
        <w:t xml:space="preserve"> credit </w:t>
      </w:r>
      <w:r w:rsidR="00C40AA4">
        <w:rPr>
          <w:rFonts w:ascii="BentonSans Book" w:hAnsi="BentonSans Book"/>
        </w:rPr>
        <w:t>continued</w:t>
      </w:r>
      <w:r w:rsidR="002920DB">
        <w:rPr>
          <w:rFonts w:ascii="BentonSans Book" w:hAnsi="BentonSans Book"/>
        </w:rPr>
        <w:t xml:space="preserve"> to increase</w:t>
      </w:r>
      <w:r>
        <w:rPr>
          <w:rFonts w:ascii="BentonSans Book" w:hAnsi="BentonSans Book"/>
        </w:rPr>
        <w:t xml:space="preserve"> during the period under review (Table 1)</w:t>
      </w:r>
      <w:r w:rsidR="002920DB">
        <w:rPr>
          <w:rFonts w:ascii="BentonSans Book" w:hAnsi="BentonSans Book"/>
        </w:rPr>
        <w:t xml:space="preserve">. </w:t>
      </w:r>
      <w:r w:rsidR="00E75BAA" w:rsidRPr="00815AA7">
        <w:rPr>
          <w:rFonts w:ascii="BentonSans Book" w:hAnsi="BentonSans Book"/>
        </w:rPr>
        <w:t>The findin</w:t>
      </w:r>
      <w:r w:rsidR="002920DB">
        <w:rPr>
          <w:rFonts w:ascii="BentonSans Book" w:hAnsi="BentonSans Book"/>
        </w:rPr>
        <w:t>gs of the survey revealed that l</w:t>
      </w:r>
      <w:r w:rsidR="00E75BAA" w:rsidRPr="00815AA7">
        <w:rPr>
          <w:rFonts w:ascii="BentonSans Book" w:hAnsi="BentonSans Book"/>
        </w:rPr>
        <w:t>oan applicat</w:t>
      </w:r>
      <w:r w:rsidR="002920DB">
        <w:rPr>
          <w:rFonts w:ascii="BentonSans Book" w:hAnsi="BentonSans Book"/>
        </w:rPr>
        <w:t xml:space="preserve">ions in value increased by </w:t>
      </w:r>
      <w:r w:rsidR="0019064D">
        <w:rPr>
          <w:rFonts w:ascii="BentonSans Book" w:hAnsi="BentonSans Book"/>
        </w:rPr>
        <w:t xml:space="preserve">27.6 </w:t>
      </w:r>
      <w:r w:rsidR="002920DB">
        <w:rPr>
          <w:rFonts w:ascii="BentonSans Book" w:hAnsi="BentonSans Book"/>
        </w:rPr>
        <w:t xml:space="preserve">percent </w:t>
      </w:r>
      <w:r w:rsidR="00C40AA4">
        <w:rPr>
          <w:rFonts w:ascii="BentonSans Book" w:hAnsi="BentonSans Book"/>
        </w:rPr>
        <w:t>as at end September 2019</w:t>
      </w:r>
      <w:r w:rsidR="002920DB">
        <w:rPr>
          <w:rFonts w:ascii="BentonSans Book" w:hAnsi="BentonSans Book"/>
        </w:rPr>
        <w:t xml:space="preserve"> (from FRW  </w:t>
      </w:r>
      <w:r w:rsidR="0019064D">
        <w:rPr>
          <w:rFonts w:ascii="BentonSans Book" w:hAnsi="BentonSans Book"/>
        </w:rPr>
        <w:t xml:space="preserve">832.0 </w:t>
      </w:r>
      <w:r w:rsidR="002920DB">
        <w:rPr>
          <w:rFonts w:ascii="BentonSans Book" w:hAnsi="BentonSans Book"/>
        </w:rPr>
        <w:t xml:space="preserve">billion in the first nine  months of  2018 to FRW </w:t>
      </w:r>
      <w:r w:rsidR="0019064D">
        <w:rPr>
          <w:rFonts w:ascii="BentonSans Book" w:hAnsi="BentonSans Book"/>
        </w:rPr>
        <w:t xml:space="preserve">1,062 </w:t>
      </w:r>
      <w:r w:rsidR="002920DB">
        <w:rPr>
          <w:rFonts w:ascii="BentonSans Book" w:hAnsi="BentonSans Book"/>
        </w:rPr>
        <w:t xml:space="preserve">billion in the first nine months of  2018), higher than the growth of </w:t>
      </w:r>
      <w:r w:rsidR="0019064D">
        <w:rPr>
          <w:rFonts w:ascii="BentonSans Book" w:hAnsi="BentonSans Book"/>
        </w:rPr>
        <w:t xml:space="preserve">17.8 </w:t>
      </w:r>
      <w:r w:rsidR="002920DB">
        <w:rPr>
          <w:rFonts w:ascii="BentonSans Book" w:hAnsi="BentonSans Book"/>
        </w:rPr>
        <w:t xml:space="preserve">percent </w:t>
      </w:r>
      <w:r w:rsidR="00C40AA4">
        <w:rPr>
          <w:rFonts w:ascii="BentonSans Book" w:hAnsi="BentonSans Book"/>
        </w:rPr>
        <w:t>registered as at end</w:t>
      </w:r>
      <w:r w:rsidR="002920DB">
        <w:rPr>
          <w:rFonts w:ascii="BentonSans Book" w:hAnsi="BentonSans Book"/>
        </w:rPr>
        <w:t xml:space="preserve"> September 2018. </w:t>
      </w:r>
      <w:r w:rsidR="00C40AA4">
        <w:rPr>
          <w:rFonts w:ascii="BentonSans Book" w:hAnsi="BentonSans Book"/>
        </w:rPr>
        <w:t xml:space="preserve">Similarly, loan application in volume increased by </w:t>
      </w:r>
      <w:r w:rsidR="0019064D">
        <w:rPr>
          <w:rFonts w:ascii="BentonSans Book" w:hAnsi="BentonSans Book"/>
        </w:rPr>
        <w:t xml:space="preserve">15.2 </w:t>
      </w:r>
      <w:r w:rsidR="00C40AA4">
        <w:rPr>
          <w:rFonts w:ascii="BentonSans Book" w:hAnsi="BentonSans Book"/>
        </w:rPr>
        <w:t xml:space="preserve">as at end September 2019 (from  </w:t>
      </w:r>
      <w:r w:rsidR="0019064D" w:rsidRPr="0019064D">
        <w:rPr>
          <w:rFonts w:ascii="BentonSans Book" w:hAnsi="BentonSans Book"/>
        </w:rPr>
        <w:t>280,469</w:t>
      </w:r>
      <w:r w:rsidR="0019064D">
        <w:rPr>
          <w:rFonts w:ascii="BentonSans Book" w:hAnsi="BentonSans Book"/>
        </w:rPr>
        <w:t xml:space="preserve"> </w:t>
      </w:r>
      <w:r w:rsidR="00C40AA4">
        <w:rPr>
          <w:rFonts w:ascii="BentonSans Book" w:hAnsi="BentonSans Book"/>
        </w:rPr>
        <w:t xml:space="preserve">in the first </w:t>
      </w:r>
      <w:r w:rsidR="00C40AA4">
        <w:rPr>
          <w:rFonts w:ascii="BentonSans Book" w:hAnsi="BentonSans Book"/>
        </w:rPr>
        <w:lastRenderedPageBreak/>
        <w:t xml:space="preserve">nine months of  2018 to  </w:t>
      </w:r>
      <w:r w:rsidR="0019064D">
        <w:rPr>
          <w:rFonts w:ascii="BentonSans Book" w:hAnsi="BentonSans Book"/>
        </w:rPr>
        <w:t xml:space="preserve">323,118 </w:t>
      </w:r>
      <w:r w:rsidR="00C40AA4">
        <w:rPr>
          <w:rFonts w:ascii="BentonSans Book" w:hAnsi="BentonSans Book"/>
        </w:rPr>
        <w:t>in the first nine months of  2019</w:t>
      </w:r>
      <w:r w:rsidR="0019064D">
        <w:rPr>
          <w:rFonts w:ascii="BentonSans Book" w:hAnsi="BentonSans Book"/>
        </w:rPr>
        <w:t xml:space="preserve">), </w:t>
      </w:r>
      <w:r w:rsidR="00C40AA4">
        <w:rPr>
          <w:rFonts w:ascii="BentonSans Book" w:hAnsi="BentonSans Book"/>
        </w:rPr>
        <w:t>compared to the growth of</w:t>
      </w:r>
      <w:r w:rsidR="0019064D">
        <w:rPr>
          <w:rFonts w:ascii="BentonSans Book" w:hAnsi="BentonSans Book"/>
        </w:rPr>
        <w:t xml:space="preserve"> 7.9 </w:t>
      </w:r>
      <w:r w:rsidR="00C40AA4">
        <w:rPr>
          <w:rFonts w:ascii="BentonSans Book" w:hAnsi="BentonSans Book"/>
        </w:rPr>
        <w:t xml:space="preserve">percent registered as at end September 2018. </w:t>
      </w:r>
      <w:r w:rsidR="00E75BAA" w:rsidRPr="00815AA7">
        <w:rPr>
          <w:rFonts w:ascii="BentonSans Book" w:hAnsi="BentonSans Book"/>
        </w:rPr>
        <w:t xml:space="preserve"> From banks’ perspective, the drivers of increased loan applications include </w:t>
      </w:r>
      <w:r w:rsidR="00C40AA4">
        <w:rPr>
          <w:rFonts w:ascii="BentonSans Book" w:hAnsi="BentonSans Book"/>
        </w:rPr>
        <w:t>i</w:t>
      </w:r>
      <w:r w:rsidR="00E75BAA" w:rsidRPr="00815AA7">
        <w:rPr>
          <w:rFonts w:ascii="BentonSans Book" w:hAnsi="BentonSans Book"/>
        </w:rPr>
        <w:t xml:space="preserve">mproved economic performance that </w:t>
      </w:r>
      <w:r w:rsidR="00555121" w:rsidRPr="00815AA7">
        <w:rPr>
          <w:rFonts w:ascii="BentonSans Book" w:hAnsi="BentonSans Book"/>
        </w:rPr>
        <w:t>prompted</w:t>
      </w:r>
      <w:r w:rsidR="00E75BAA" w:rsidRPr="00815AA7">
        <w:rPr>
          <w:rFonts w:ascii="BentonSans Book" w:hAnsi="BentonSans Book"/>
        </w:rPr>
        <w:t xml:space="preserve"> more business opportunities and increased desire for spending. </w:t>
      </w:r>
    </w:p>
    <w:p w:rsidR="00E75BAA" w:rsidRDefault="00E75BAA" w:rsidP="00E75BAA">
      <w:pPr>
        <w:rPr>
          <w:rFonts w:ascii="BentonSans Bold" w:hAnsi="BentonSans Bold"/>
          <w:b/>
        </w:rPr>
      </w:pPr>
      <w:r w:rsidRPr="0061513A">
        <w:rPr>
          <w:rFonts w:ascii="BentonSans Bold" w:hAnsi="BentonSans Bold"/>
          <w:b/>
        </w:rPr>
        <w:t>Table 1: Loan Application</w:t>
      </w:r>
      <w:r w:rsidR="0061513A" w:rsidRPr="0061513A">
        <w:rPr>
          <w:rFonts w:ascii="BentonSans Bold" w:hAnsi="BentonSans Bold"/>
          <w:b/>
        </w:rPr>
        <w:t>s</w:t>
      </w:r>
      <w:r w:rsidRPr="0061513A">
        <w:rPr>
          <w:rFonts w:ascii="BentonSans Bold" w:hAnsi="BentonSans Bold"/>
          <w:b/>
        </w:rPr>
        <w:t xml:space="preserve"> in Value and Volume</w:t>
      </w:r>
    </w:p>
    <w:tbl>
      <w:tblPr>
        <w:tblW w:w="8635" w:type="dxa"/>
        <w:tblCellMar>
          <w:left w:w="0" w:type="dxa"/>
          <w:right w:w="0" w:type="dxa"/>
        </w:tblCellMar>
        <w:tblLook w:val="0600" w:firstRow="0" w:lastRow="0" w:firstColumn="0" w:lastColumn="0" w:noHBand="1" w:noVBand="1"/>
      </w:tblPr>
      <w:tblGrid>
        <w:gridCol w:w="2389"/>
        <w:gridCol w:w="1136"/>
        <w:gridCol w:w="1240"/>
        <w:gridCol w:w="1260"/>
        <w:gridCol w:w="1260"/>
        <w:gridCol w:w="1350"/>
      </w:tblGrid>
      <w:tr w:rsidR="0019064D" w:rsidRPr="0019064D" w:rsidTr="0019064D">
        <w:trPr>
          <w:trHeight w:val="722"/>
        </w:trPr>
        <w:tc>
          <w:tcPr>
            <w:tcW w:w="238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rPr>
                <w:rFonts w:ascii="BentonSans Bold" w:hAnsi="BentonSans Bold"/>
              </w:rPr>
            </w:pPr>
            <w:r w:rsidRPr="0019064D">
              <w:rPr>
                <w:rFonts w:ascii="BentonSans Bold" w:hAnsi="BentonSans Bold"/>
                <w:bCs/>
              </w:rPr>
              <w:t xml:space="preserve"> Loans Applications </w:t>
            </w:r>
          </w:p>
        </w:tc>
        <w:tc>
          <w:tcPr>
            <w:tcW w:w="113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Sep-17</w:t>
            </w:r>
          </w:p>
        </w:tc>
        <w:tc>
          <w:tcPr>
            <w:tcW w:w="124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Sep-18</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Sep-19</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 Change</w:t>
            </w:r>
          </w:p>
          <w:p w:rsidR="0019064D" w:rsidRPr="0019064D" w:rsidRDefault="0019064D" w:rsidP="0019064D">
            <w:pPr>
              <w:jc w:val="center"/>
              <w:rPr>
                <w:rFonts w:ascii="BentonSans Bold" w:hAnsi="BentonSans Bold"/>
              </w:rPr>
            </w:pPr>
            <w:r w:rsidRPr="0019064D">
              <w:rPr>
                <w:rFonts w:ascii="BentonSans Bold" w:hAnsi="BentonSans Bold"/>
                <w:bCs/>
              </w:rPr>
              <w:t>17/18</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 Change</w:t>
            </w:r>
          </w:p>
          <w:p w:rsidR="0019064D" w:rsidRPr="0019064D" w:rsidRDefault="0019064D" w:rsidP="0019064D">
            <w:pPr>
              <w:jc w:val="center"/>
              <w:rPr>
                <w:rFonts w:ascii="BentonSans Bold" w:hAnsi="BentonSans Bold"/>
              </w:rPr>
            </w:pPr>
            <w:r w:rsidRPr="0019064D">
              <w:rPr>
                <w:rFonts w:ascii="BentonSans Bold" w:hAnsi="BentonSans Bold"/>
                <w:bCs/>
              </w:rPr>
              <w:t>18/19</w:t>
            </w:r>
          </w:p>
        </w:tc>
      </w:tr>
      <w:tr w:rsidR="0019064D" w:rsidRPr="0019064D" w:rsidTr="0019064D">
        <w:trPr>
          <w:trHeight w:val="463"/>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rPr>
                <w:rFonts w:ascii="BentonSans Book" w:hAnsi="BentonSans Book"/>
              </w:rPr>
            </w:pPr>
            <w:r w:rsidRPr="0019064D">
              <w:rPr>
                <w:rFonts w:ascii="BentonSans Book" w:hAnsi="BentonSans Book"/>
              </w:rPr>
              <w:t>Value (FRW billion)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706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1,062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17.8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27.6</w:t>
            </w:r>
          </w:p>
        </w:tc>
      </w:tr>
      <w:tr w:rsidR="0019064D" w:rsidRPr="0019064D" w:rsidTr="0019064D">
        <w:trPr>
          <w:trHeight w:val="501"/>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rPr>
                <w:rFonts w:ascii="BentonSans Book" w:hAnsi="BentonSans Book"/>
              </w:rPr>
            </w:pPr>
            <w:r w:rsidRPr="0019064D">
              <w:rPr>
                <w:rFonts w:ascii="BentonSans Book" w:hAnsi="BentonSans Book"/>
              </w:rPr>
              <w:t>Volume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259,849</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280,469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323,118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7.9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jc w:val="center"/>
              <w:rPr>
                <w:rFonts w:ascii="BentonSans Book" w:hAnsi="BentonSans Book"/>
              </w:rPr>
            </w:pPr>
            <w:r w:rsidRPr="0019064D">
              <w:rPr>
                <w:rFonts w:ascii="BentonSans Book" w:hAnsi="BentonSans Book"/>
              </w:rPr>
              <w:t>15.2</w:t>
            </w:r>
          </w:p>
        </w:tc>
      </w:tr>
    </w:tbl>
    <w:p w:rsidR="00E75BAA" w:rsidRPr="005B2791" w:rsidRDefault="00E75BAA" w:rsidP="00E75BAA">
      <w:pPr>
        <w:jc w:val="both"/>
        <w:rPr>
          <w:rFonts w:ascii="BentonSans Book" w:hAnsi="BentonSans Book"/>
        </w:rPr>
      </w:pPr>
      <w:r w:rsidRPr="005B2791">
        <w:rPr>
          <w:rFonts w:ascii="BentonSans Book" w:hAnsi="BentonSans Book"/>
          <w:b/>
        </w:rPr>
        <w:t>Source:</w:t>
      </w:r>
      <w:r w:rsidRPr="005B2791">
        <w:rPr>
          <w:rFonts w:ascii="BentonSans Book" w:hAnsi="BentonSans Book"/>
        </w:rPr>
        <w:t xml:space="preserve"> Credit Survey Findings</w:t>
      </w:r>
    </w:p>
    <w:p w:rsidR="00384385" w:rsidRPr="005B2791" w:rsidRDefault="00384385" w:rsidP="00384385">
      <w:pPr>
        <w:pStyle w:val="NormalWeb"/>
        <w:spacing w:before="120" w:after="120" w:line="360" w:lineRule="auto"/>
        <w:jc w:val="both"/>
        <w:rPr>
          <w:rFonts w:ascii="BentonSans Book" w:hAnsi="BentonSans Book"/>
          <w:sz w:val="20"/>
          <w:szCs w:val="18"/>
        </w:rPr>
      </w:pPr>
    </w:p>
    <w:p w:rsidR="00E75BAA" w:rsidRPr="005B2791" w:rsidRDefault="0061513A" w:rsidP="00E75BAA">
      <w:pPr>
        <w:jc w:val="both"/>
        <w:rPr>
          <w:rFonts w:ascii="BentonSans Book" w:hAnsi="BentonSans Book"/>
          <w:b/>
        </w:rPr>
      </w:pPr>
      <w:r>
        <w:rPr>
          <w:rFonts w:ascii="BentonSans Bold" w:hAnsi="BentonSans Bold"/>
          <w:b/>
        </w:rPr>
        <w:t xml:space="preserve">2.2 </w:t>
      </w:r>
      <w:r w:rsidR="00E75BAA" w:rsidRPr="0061513A">
        <w:rPr>
          <w:rFonts w:ascii="BentonSans Bold" w:hAnsi="BentonSans Bold"/>
          <w:b/>
        </w:rPr>
        <w:t>The Supply of Credit</w:t>
      </w:r>
    </w:p>
    <w:p w:rsidR="005027CE" w:rsidRPr="005A73D8" w:rsidRDefault="0019064D" w:rsidP="00AC7CBA">
      <w:pPr>
        <w:spacing w:line="360" w:lineRule="auto"/>
        <w:jc w:val="both"/>
        <w:rPr>
          <w:rFonts w:ascii="BentonSans Book" w:hAnsi="BentonSans Book"/>
        </w:rPr>
      </w:pPr>
      <w:r w:rsidRPr="0019064D">
        <w:rPr>
          <w:rFonts w:ascii="BentonSans Book" w:eastAsia="Times New Roman" w:hAnsi="BentonSans Book" w:cs="Times New Roman"/>
          <w:color w:val="191919"/>
        </w:rPr>
        <w:t>T</w:t>
      </w:r>
      <w:r w:rsidR="00AC7CBA">
        <w:rPr>
          <w:rFonts w:ascii="BentonSans Book" w:hAnsi="BentonSans Book"/>
        </w:rPr>
        <w:t>he survey</w:t>
      </w:r>
      <w:r>
        <w:rPr>
          <w:rFonts w:ascii="BentonSans Book" w:hAnsi="BentonSans Book"/>
        </w:rPr>
        <w:t xml:space="preserve"> uses two metrics to gauge the supply of credit (loans approved and loans disbursed). </w:t>
      </w:r>
      <w:r w:rsidR="00AC7CBA">
        <w:rPr>
          <w:rFonts w:ascii="BentonSans Book" w:hAnsi="BentonSans Book"/>
        </w:rPr>
        <w:t>On one hand, l</w:t>
      </w:r>
      <w:r>
        <w:rPr>
          <w:rFonts w:ascii="BentonSans Book" w:hAnsi="BentonSans Book"/>
        </w:rPr>
        <w:t xml:space="preserve">oans </w:t>
      </w:r>
      <w:r w:rsidR="00AC7CBA">
        <w:rPr>
          <w:rFonts w:ascii="BentonSans Book" w:hAnsi="BentonSans Book"/>
        </w:rPr>
        <w:t>approv</w:t>
      </w:r>
      <w:r>
        <w:rPr>
          <w:rFonts w:ascii="BentonSans Book" w:hAnsi="BentonSans Book"/>
        </w:rPr>
        <w:t>ed</w:t>
      </w:r>
      <w:r w:rsidR="005027CE" w:rsidRPr="0019064D">
        <w:rPr>
          <w:rFonts w:ascii="BentonSans Book" w:hAnsi="BentonSans Book"/>
        </w:rPr>
        <w:t xml:space="preserve"> consist of all cash loans approved irrespective of other requirements that a borrower</w:t>
      </w:r>
      <w:r w:rsidR="005027CE">
        <w:rPr>
          <w:rFonts w:ascii="BentonSans Book" w:hAnsi="BentonSans Book"/>
        </w:rPr>
        <w:t xml:space="preserve"> has to fulfill before a loan is disbursed</w:t>
      </w:r>
      <w:r w:rsidR="00AC7CBA">
        <w:rPr>
          <w:rFonts w:ascii="BentonSans Book" w:hAnsi="BentonSans Book"/>
        </w:rPr>
        <w:t xml:space="preserve"> and they are derived from loans applications. On the other hand,</w:t>
      </w:r>
      <w:r w:rsidR="005027CE">
        <w:rPr>
          <w:rFonts w:ascii="BentonSans Book" w:hAnsi="BentonSans Book"/>
        </w:rPr>
        <w:t xml:space="preserve"> loan</w:t>
      </w:r>
      <w:r w:rsidR="00AC7CBA">
        <w:rPr>
          <w:rFonts w:ascii="BentonSans Book" w:hAnsi="BentonSans Book"/>
        </w:rPr>
        <w:t>s</w:t>
      </w:r>
      <w:r w:rsidR="005027CE">
        <w:rPr>
          <w:rFonts w:ascii="BentonSans Book" w:hAnsi="BentonSans Book"/>
        </w:rPr>
        <w:t xml:space="preserve"> disbursed refer to </w:t>
      </w:r>
      <w:r w:rsidR="005027CE" w:rsidRPr="005A73D8">
        <w:rPr>
          <w:rFonts w:ascii="BentonSans Book" w:hAnsi="BentonSans Book"/>
        </w:rPr>
        <w:t>a po</w:t>
      </w:r>
      <w:r w:rsidR="005027CE">
        <w:rPr>
          <w:rFonts w:ascii="BentonSans Book" w:hAnsi="BentonSans Book"/>
        </w:rPr>
        <w:t>rtion of loan approved that has</w:t>
      </w:r>
      <w:r w:rsidR="005027CE" w:rsidRPr="005A73D8">
        <w:rPr>
          <w:rFonts w:ascii="BentonSans Book" w:hAnsi="BentonSans Book"/>
        </w:rPr>
        <w:t xml:space="preserve"> been credited on borrower’s account.</w:t>
      </w:r>
    </w:p>
    <w:p w:rsidR="00A33B15" w:rsidRDefault="00AC7CBA" w:rsidP="00E75BAA">
      <w:pPr>
        <w:spacing w:line="360" w:lineRule="auto"/>
        <w:jc w:val="both"/>
        <w:rPr>
          <w:rFonts w:ascii="BentonSans Book" w:hAnsi="BentonSans Book"/>
        </w:rPr>
      </w:pPr>
      <w:r>
        <w:rPr>
          <w:rFonts w:ascii="BentonSans Book" w:hAnsi="BentonSans Book"/>
        </w:rPr>
        <w:t>During the first nine months of  2019</w:t>
      </w:r>
      <w:r w:rsidR="00E75BAA" w:rsidRPr="005027CE">
        <w:rPr>
          <w:rFonts w:ascii="BentonSans Book" w:hAnsi="BentonSans Book"/>
        </w:rPr>
        <w:t>, the new autho</w:t>
      </w:r>
      <w:r w:rsidR="00671164">
        <w:rPr>
          <w:rFonts w:ascii="BentonSans Book" w:hAnsi="BentonSans Book"/>
        </w:rPr>
        <w:t>rized loans by banks grew by 41.1</w:t>
      </w:r>
      <w:r w:rsidR="00E75BAA" w:rsidRPr="005027CE">
        <w:rPr>
          <w:rFonts w:ascii="BentonSans Book" w:hAnsi="BentonSans Book"/>
        </w:rPr>
        <w:t xml:space="preserve"> percen</w:t>
      </w:r>
      <w:r w:rsidR="00671164">
        <w:rPr>
          <w:rFonts w:ascii="BentonSans Book" w:hAnsi="BentonSans Book"/>
        </w:rPr>
        <w:t xml:space="preserve">t compared to the growth of 0.3 </w:t>
      </w:r>
      <w:r w:rsidR="00E75BAA" w:rsidRPr="005027CE">
        <w:rPr>
          <w:rFonts w:ascii="BentonSans Book" w:hAnsi="BentonSans Book"/>
        </w:rPr>
        <w:t>register</w:t>
      </w:r>
      <w:r w:rsidR="00671164">
        <w:rPr>
          <w:rFonts w:ascii="BentonSans Book" w:hAnsi="BentonSans Book"/>
        </w:rPr>
        <w:t>ed in the first 9 months of 2018 (Figure 1</w:t>
      </w:r>
      <w:r w:rsidR="00E75BAA" w:rsidRPr="005027CE">
        <w:rPr>
          <w:rFonts w:ascii="BentonSans Book" w:hAnsi="BentonSans Book"/>
        </w:rPr>
        <w:t xml:space="preserve">). Between </w:t>
      </w:r>
      <w:r w:rsidR="00671164">
        <w:rPr>
          <w:rFonts w:ascii="BentonSans Book" w:hAnsi="BentonSans Book"/>
        </w:rPr>
        <w:t>January and September 2019</w:t>
      </w:r>
      <w:r w:rsidR="00E75BAA" w:rsidRPr="005027CE">
        <w:rPr>
          <w:rFonts w:ascii="BentonSans Book" w:hAnsi="BentonSans Book"/>
        </w:rPr>
        <w:t xml:space="preserve">, banks approved </w:t>
      </w:r>
      <w:r w:rsidR="00671164" w:rsidRPr="00671164">
        <w:rPr>
          <w:rFonts w:ascii="BentonSans Book" w:hAnsi="BentonSans Book"/>
        </w:rPr>
        <w:t>311,907</w:t>
      </w:r>
      <w:r w:rsidR="00671164">
        <w:rPr>
          <w:rFonts w:ascii="BentonSans Book" w:hAnsi="BentonSans Book"/>
        </w:rPr>
        <w:t xml:space="preserve"> </w:t>
      </w:r>
      <w:r w:rsidR="00E75BAA" w:rsidRPr="005027CE">
        <w:rPr>
          <w:rFonts w:ascii="BentonSans Book" w:hAnsi="BentonSans Book"/>
        </w:rPr>
        <w:t xml:space="preserve">loans worthy FRW </w:t>
      </w:r>
      <w:r w:rsidR="00671164">
        <w:rPr>
          <w:rFonts w:ascii="BentonSans Book" w:hAnsi="BentonSans Book"/>
        </w:rPr>
        <w:t>862</w:t>
      </w:r>
      <w:r w:rsidR="00E75BAA" w:rsidRPr="005027CE">
        <w:rPr>
          <w:rFonts w:ascii="BentonSans Book" w:hAnsi="BentonSans Book"/>
        </w:rPr>
        <w:t xml:space="preserve"> billion, compared t</w:t>
      </w:r>
      <w:r w:rsidR="00671164">
        <w:rPr>
          <w:rFonts w:ascii="BentonSans Book" w:hAnsi="BentonSans Book"/>
        </w:rPr>
        <w:t xml:space="preserve">o </w:t>
      </w:r>
      <w:r w:rsidR="00671164" w:rsidRPr="00671164">
        <w:rPr>
          <w:rFonts w:ascii="BentonSans Book" w:hAnsi="BentonSans Book"/>
        </w:rPr>
        <w:t>251,106</w:t>
      </w:r>
      <w:r w:rsidR="00A33B15">
        <w:rPr>
          <w:rFonts w:ascii="BentonSans Book" w:hAnsi="BentonSans Book"/>
        </w:rPr>
        <w:t xml:space="preserve"> </w:t>
      </w:r>
      <w:r w:rsidR="00671164">
        <w:rPr>
          <w:rFonts w:ascii="BentonSans Book" w:hAnsi="BentonSans Book"/>
        </w:rPr>
        <w:t>loans worthy FRW 611</w:t>
      </w:r>
      <w:r w:rsidR="00E75BAA" w:rsidRPr="005027CE">
        <w:rPr>
          <w:rFonts w:ascii="BentonSans Book" w:hAnsi="BentonSans Book"/>
        </w:rPr>
        <w:t xml:space="preserve"> billion that were approved during </w:t>
      </w:r>
      <w:r w:rsidR="00A33B15">
        <w:rPr>
          <w:rFonts w:ascii="BentonSans Book" w:hAnsi="BentonSans Book"/>
        </w:rPr>
        <w:t xml:space="preserve">the corresponding period in 2018. The improved growth of </w:t>
      </w:r>
      <w:r w:rsidR="00E75BAA" w:rsidRPr="005027CE">
        <w:rPr>
          <w:rFonts w:ascii="BentonSans Book" w:hAnsi="BentonSans Book"/>
        </w:rPr>
        <w:t xml:space="preserve">new loans is mainly attributable to </w:t>
      </w:r>
      <w:r w:rsidR="00A33B15">
        <w:rPr>
          <w:rFonts w:ascii="BentonSans Book" w:hAnsi="BentonSans Book"/>
        </w:rPr>
        <w:t>increased demand for loans consistent with the robust economic conditions and increased lending appetite by banks.</w:t>
      </w:r>
    </w:p>
    <w:p w:rsidR="009B54F3" w:rsidRDefault="009B54F3" w:rsidP="009B54F3">
      <w:pPr>
        <w:spacing w:before="300" w:after="0" w:line="360" w:lineRule="auto"/>
        <w:jc w:val="both"/>
        <w:textAlignment w:val="baseline"/>
        <w:rPr>
          <w:rFonts w:ascii="BentonSans Book" w:hAnsi="BentonSans Book"/>
        </w:rPr>
      </w:pPr>
      <w:r>
        <w:rPr>
          <w:rFonts w:ascii="BentonSans Book" w:hAnsi="BentonSans Book"/>
        </w:rPr>
        <w:t>Consistent with</w:t>
      </w:r>
      <w:r w:rsidRPr="005B2791">
        <w:rPr>
          <w:rFonts w:ascii="BentonSans Book" w:hAnsi="BentonSans Book"/>
        </w:rPr>
        <w:t xml:space="preserve"> the development in credit standards, the rejection rate</w:t>
      </w:r>
      <w:r w:rsidRPr="005B2791">
        <w:rPr>
          <w:rStyle w:val="FootnoteReference"/>
          <w:rFonts w:ascii="BentonSans Book" w:hAnsi="BentonSans Book"/>
        </w:rPr>
        <w:footnoteReference w:id="1"/>
      </w:r>
      <w:r>
        <w:rPr>
          <w:rFonts w:ascii="BentonSans Book" w:hAnsi="BentonSans Book"/>
        </w:rPr>
        <w:t xml:space="preserve"> moderated</w:t>
      </w:r>
      <w:r w:rsidRPr="005B2791">
        <w:rPr>
          <w:rFonts w:ascii="BentonSans Book" w:hAnsi="BentonSans Book"/>
        </w:rPr>
        <w:t>. The overall rejecti</w:t>
      </w:r>
      <w:r>
        <w:rPr>
          <w:rFonts w:ascii="BentonSans Book" w:hAnsi="BentonSans Book"/>
        </w:rPr>
        <w:t xml:space="preserve">on rate in value declined to 18.8 percent in September 2019 from 26.6 percent in September 2018. During the same period, the overall rejection rate in volume reduced to 3.5 percent as at September 2019 from 15.5 percent as at September 2018. </w:t>
      </w:r>
      <w:r w:rsidRPr="005B2791">
        <w:rPr>
          <w:rFonts w:ascii="BentonSans Book" w:hAnsi="BentonSans Book"/>
        </w:rPr>
        <w:t xml:space="preserve"> Across different </w:t>
      </w:r>
      <w:r w:rsidRPr="005B2791">
        <w:rPr>
          <w:rFonts w:ascii="BentonSans Book" w:hAnsi="BentonSans Book"/>
        </w:rPr>
        <w:lastRenderedPageBreak/>
        <w:t>economic sectors, the rejection rate varied and generally reflected the risk profile of a particular acti</w:t>
      </w:r>
      <w:r>
        <w:rPr>
          <w:rFonts w:ascii="BentonSans Book" w:hAnsi="BentonSans Book"/>
        </w:rPr>
        <w:t>vity sector. From a sample of 75</w:t>
      </w:r>
      <w:r w:rsidRPr="005B2791">
        <w:rPr>
          <w:rFonts w:ascii="BentonSans Book" w:hAnsi="BentonSans Book"/>
        </w:rPr>
        <w:t xml:space="preserve"> projects that were rejected by banks, it emerged that weak repayment capacity, inadequate collateral, </w:t>
      </w:r>
      <w:r>
        <w:rPr>
          <w:rFonts w:ascii="BentonSans Book" w:hAnsi="BentonSans Book"/>
        </w:rPr>
        <w:t xml:space="preserve">lack of own contribution and the </w:t>
      </w:r>
      <w:r w:rsidRPr="005B2791">
        <w:rPr>
          <w:rFonts w:ascii="BentonSans Book" w:hAnsi="BentonSans Book"/>
        </w:rPr>
        <w:t xml:space="preserve">negative credit </w:t>
      </w:r>
      <w:r>
        <w:rPr>
          <w:rFonts w:ascii="BentonSans Book" w:hAnsi="BentonSans Book"/>
        </w:rPr>
        <w:t xml:space="preserve">history were among the key reason that led to the </w:t>
      </w:r>
      <w:r w:rsidRPr="005B2791">
        <w:rPr>
          <w:rFonts w:ascii="BentonSans Book" w:hAnsi="BentonSans Book"/>
        </w:rPr>
        <w:t xml:space="preserve">rejection </w:t>
      </w:r>
      <w:r>
        <w:rPr>
          <w:rFonts w:ascii="BentonSans Book" w:hAnsi="BentonSans Book"/>
        </w:rPr>
        <w:t>of loans applications.</w:t>
      </w:r>
      <w:r w:rsidRPr="005B2791">
        <w:rPr>
          <w:rFonts w:ascii="BentonSans Book" w:hAnsi="BentonSans Book"/>
        </w:rPr>
        <w:t xml:space="preserve"> </w:t>
      </w:r>
    </w:p>
    <w:p w:rsidR="009B54F3" w:rsidRDefault="009B54F3" w:rsidP="00196E42">
      <w:pPr>
        <w:spacing w:after="0" w:line="360" w:lineRule="auto"/>
        <w:jc w:val="both"/>
        <w:rPr>
          <w:rFonts w:ascii="BentonSans Book" w:hAnsi="BentonSans Book"/>
        </w:rPr>
      </w:pPr>
    </w:p>
    <w:p w:rsidR="00E04FC3" w:rsidRPr="00E04FC3" w:rsidRDefault="00E04FC3" w:rsidP="00196E42">
      <w:pPr>
        <w:spacing w:after="0" w:line="360" w:lineRule="auto"/>
        <w:jc w:val="both"/>
        <w:rPr>
          <w:rFonts w:ascii="BentonSans Book" w:hAnsi="BentonSans Book"/>
        </w:rPr>
      </w:pPr>
      <w:r>
        <w:rPr>
          <w:rFonts w:ascii="BentonSans Book" w:hAnsi="BentonSans Book"/>
        </w:rPr>
        <w:t xml:space="preserve">Sector wise, </w:t>
      </w:r>
      <w:r w:rsidR="00F8226A">
        <w:rPr>
          <w:rFonts w:ascii="BentonSans Book" w:hAnsi="BentonSans Book"/>
        </w:rPr>
        <w:t xml:space="preserve">banks continue to diversify their loans portfolio by increasing  lending to other key sectors including manufacturing, water and energy  and transport and communication. </w:t>
      </w:r>
      <w:r w:rsidR="00196E42">
        <w:rPr>
          <w:rFonts w:ascii="BentonSans Book" w:hAnsi="BentonSans Book"/>
        </w:rPr>
        <w:t>New l</w:t>
      </w:r>
      <w:r>
        <w:rPr>
          <w:rFonts w:ascii="BentonSans Book" w:hAnsi="BentonSans Book"/>
        </w:rPr>
        <w:t>ending</w:t>
      </w:r>
      <w:r w:rsidR="00F8226A">
        <w:rPr>
          <w:rFonts w:ascii="BentonSans Book" w:hAnsi="BentonSans Book"/>
        </w:rPr>
        <w:t xml:space="preserve"> </w:t>
      </w:r>
      <w:r w:rsidR="0008507D">
        <w:rPr>
          <w:rFonts w:ascii="BentonSans Book" w:hAnsi="BentonSans Book"/>
        </w:rPr>
        <w:t xml:space="preserve">to transport and </w:t>
      </w:r>
      <w:r w:rsidR="00196E42">
        <w:rPr>
          <w:rFonts w:ascii="BentonSans Book" w:hAnsi="BentonSans Book"/>
        </w:rPr>
        <w:t xml:space="preserve">communication sector increased by 11.8 percent to FRW 65.9 billion, while for water and energy sector, new lending increased by 238 percent to FRW 56.1 billion  as at end September 2019. In particular, new </w:t>
      </w:r>
      <w:r w:rsidR="00F8226A">
        <w:rPr>
          <w:rFonts w:ascii="BentonSans Book" w:hAnsi="BentonSans Book"/>
        </w:rPr>
        <w:t xml:space="preserve"> le</w:t>
      </w:r>
      <w:r w:rsidRPr="00E04FC3">
        <w:rPr>
          <w:rFonts w:ascii="BentonSans Book" w:hAnsi="BentonSans Book"/>
        </w:rPr>
        <w:t xml:space="preserve">nding to manufacturing </w:t>
      </w:r>
      <w:r w:rsidR="00196E42">
        <w:rPr>
          <w:rFonts w:ascii="BentonSans Book" w:hAnsi="BentonSans Book"/>
        </w:rPr>
        <w:t>continue to increase for three year in row as banks embarked on supporting made in Rwanda program.</w:t>
      </w:r>
      <w:r w:rsidRPr="00E04FC3">
        <w:rPr>
          <w:rFonts w:ascii="BentonSans Book" w:hAnsi="BentonSans Book"/>
        </w:rPr>
        <w:t xml:space="preserve"> </w:t>
      </w:r>
      <w:r w:rsidR="000D7C29">
        <w:rPr>
          <w:rFonts w:ascii="BentonSans Book" w:hAnsi="BentonSans Book"/>
        </w:rPr>
        <w:t>During the period under review</w:t>
      </w:r>
      <w:r w:rsidR="00196E42">
        <w:rPr>
          <w:rFonts w:ascii="BentonSans Book" w:hAnsi="BentonSans Book"/>
        </w:rPr>
        <w:t xml:space="preserve">, new loans to manufacturing sector increased by 173.7 percent </w:t>
      </w:r>
      <w:r w:rsidR="000D7C29">
        <w:rPr>
          <w:rFonts w:ascii="BentonSans Book" w:hAnsi="BentonSans Book"/>
        </w:rPr>
        <w:t>(</w:t>
      </w:r>
      <w:r w:rsidR="00196E42">
        <w:rPr>
          <w:rFonts w:ascii="BentonSans Book" w:hAnsi="BentonSans Book"/>
        </w:rPr>
        <w:t xml:space="preserve">from FRW 44.5 billion </w:t>
      </w:r>
      <w:r w:rsidR="000D7C29">
        <w:rPr>
          <w:rFonts w:ascii="BentonSans Book" w:hAnsi="BentonSans Book"/>
        </w:rPr>
        <w:t xml:space="preserve">as at end </w:t>
      </w:r>
      <w:r w:rsidR="00196E42">
        <w:rPr>
          <w:rFonts w:ascii="BentonSans Book" w:hAnsi="BentonSans Book"/>
        </w:rPr>
        <w:t xml:space="preserve">September 2018 to FRW </w:t>
      </w:r>
      <w:r w:rsidR="000D7C29">
        <w:rPr>
          <w:rFonts w:ascii="BentonSans Book" w:hAnsi="BentonSans Book"/>
        </w:rPr>
        <w:t>121.7</w:t>
      </w:r>
      <w:r w:rsidR="00196E42">
        <w:rPr>
          <w:rFonts w:ascii="BentonSans Book" w:hAnsi="BentonSans Book"/>
        </w:rPr>
        <w:t xml:space="preserve"> billion </w:t>
      </w:r>
      <w:r w:rsidR="000D7C29">
        <w:rPr>
          <w:rFonts w:ascii="BentonSans Book" w:hAnsi="BentonSans Book"/>
        </w:rPr>
        <w:t xml:space="preserve">as at end </w:t>
      </w:r>
      <w:r w:rsidR="00196E42">
        <w:rPr>
          <w:rFonts w:ascii="BentonSans Book" w:hAnsi="BentonSans Book"/>
        </w:rPr>
        <w:t>September 2019</w:t>
      </w:r>
      <w:r w:rsidR="000D7C29">
        <w:rPr>
          <w:rFonts w:ascii="BentonSans Book" w:hAnsi="BentonSans Book"/>
        </w:rPr>
        <w:t>)</w:t>
      </w:r>
      <w:r w:rsidR="00196E42">
        <w:rPr>
          <w:rFonts w:ascii="BentonSans Book" w:hAnsi="BentonSans Book"/>
        </w:rPr>
        <w:t xml:space="preserve">, </w:t>
      </w:r>
      <w:r w:rsidR="000D7C29">
        <w:rPr>
          <w:rFonts w:ascii="BentonSans Book" w:hAnsi="BentonSans Book"/>
        </w:rPr>
        <w:t>higher</w:t>
      </w:r>
      <w:r w:rsidR="00196E42">
        <w:rPr>
          <w:rFonts w:ascii="BentonSans Book" w:hAnsi="BentonSans Book"/>
        </w:rPr>
        <w:t xml:space="preserve"> than the growth of </w:t>
      </w:r>
      <w:r w:rsidR="000D7C29">
        <w:rPr>
          <w:rFonts w:ascii="BentonSans Book" w:hAnsi="BentonSans Book"/>
        </w:rPr>
        <w:t>6.2 recorded as at end September 2018. Improving lending in other activity sectors is positive development from the financial stability perspective as the former reduces the concentration of loans in highly financed sectors including trade and mortgage whose bad performance can cause huge repercussion on banks’ balance sheet.</w:t>
      </w:r>
    </w:p>
    <w:p w:rsidR="00E04FC3" w:rsidRPr="00FB2BCE" w:rsidRDefault="00E04FC3" w:rsidP="00E04FC3">
      <w:pPr>
        <w:spacing w:after="0" w:line="240" w:lineRule="auto"/>
      </w:pPr>
    </w:p>
    <w:p w:rsidR="00E75BAA" w:rsidRPr="00F61B80" w:rsidRDefault="00E75BAA" w:rsidP="00E75BAA">
      <w:pPr>
        <w:jc w:val="both"/>
        <w:rPr>
          <w:rFonts w:ascii="BentonSans Bold" w:hAnsi="BentonSans Bold"/>
        </w:rPr>
      </w:pPr>
      <w:r w:rsidRPr="00F61B80">
        <w:rPr>
          <w:rFonts w:ascii="BentonSans Bold" w:hAnsi="BentonSans Bold"/>
          <w:b/>
        </w:rPr>
        <w:t>Figure 1: New Authorized Loans by Banks</w:t>
      </w:r>
    </w:p>
    <w:p w:rsidR="00E75BAA" w:rsidRPr="005B2791" w:rsidRDefault="00E75BAA" w:rsidP="00E75BAA">
      <w:pPr>
        <w:jc w:val="both"/>
        <w:rPr>
          <w:rFonts w:ascii="BentonSans Book" w:hAnsi="BentonSans Book"/>
        </w:rPr>
      </w:pPr>
      <w:r w:rsidRPr="005B2791">
        <w:rPr>
          <w:rFonts w:ascii="BentonSans Book" w:hAnsi="BentonSans Book"/>
          <w:noProof/>
        </w:rPr>
        <mc:AlternateContent>
          <mc:Choice Requires="wps">
            <w:drawing>
              <wp:anchor distT="0" distB="0" distL="114300" distR="114300" simplePos="0" relativeHeight="251691008" behindDoc="0" locked="0" layoutInCell="1" allowOverlap="1" wp14:anchorId="4A242081" wp14:editId="66FFDB97">
                <wp:simplePos x="0" y="0"/>
                <wp:positionH relativeFrom="margin">
                  <wp:align>right</wp:align>
                </wp:positionH>
                <wp:positionV relativeFrom="paragraph">
                  <wp:posOffset>11431</wp:posOffset>
                </wp:positionV>
                <wp:extent cx="6029325" cy="3181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29325"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5BAA" w:rsidRDefault="00EE49AA" w:rsidP="00E75BAA">
                            <w:r>
                              <w:rPr>
                                <w:noProof/>
                              </w:rPr>
                              <w:drawing>
                                <wp:inline distT="0" distB="0" distL="0" distR="0" wp14:anchorId="0B25761E" wp14:editId="6F00938C">
                                  <wp:extent cx="3009900" cy="3038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75BAA">
                              <w:t xml:space="preserve"> </w:t>
                            </w:r>
                            <w:r w:rsidR="00E04FC3">
                              <w:rPr>
                                <w:noProof/>
                              </w:rPr>
                              <w:drawing>
                                <wp:inline distT="0" distB="0" distL="0" distR="0" wp14:anchorId="13AF354E" wp14:editId="685DA037">
                                  <wp:extent cx="2781300" cy="30384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75BA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2081" id="Text Box 1" o:spid="_x0000_s1028" type="#_x0000_t202" style="position:absolute;left:0;text-align:left;margin-left:423.55pt;margin-top:.9pt;width:474.75pt;height:250.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" fillcolor="white [3201]" strokeweight=".5pt">
                <v:textbox>
                  <w:txbxContent>
                    <w:p w:rsidR="00E75BAA" w:rsidRDefault="00EE49AA" w:rsidP="00E75BAA">
                      <w:r>
                        <w:rPr>
                          <w:noProof/>
                        </w:rPr>
                        <w:drawing>
                          <wp:inline distT="0" distB="0" distL="0" distR="0" wp14:anchorId="0B25761E" wp14:editId="6F00938C">
                            <wp:extent cx="3009900" cy="3038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75BAA">
                        <w:t xml:space="preserve"> </w:t>
                      </w:r>
                      <w:r w:rsidR="00E04FC3">
                        <w:rPr>
                          <w:noProof/>
                        </w:rPr>
                        <w:drawing>
                          <wp:inline distT="0" distB="0" distL="0" distR="0" wp14:anchorId="13AF354E" wp14:editId="685DA037">
                            <wp:extent cx="2781300" cy="30384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75BAA">
                        <w:t xml:space="preserve">   </w:t>
                      </w:r>
                    </w:p>
                  </w:txbxContent>
                </v:textbox>
                <w10:wrap anchorx="margin"/>
              </v:shape>
            </w:pict>
          </mc:Fallback>
        </mc:AlternateContent>
      </w: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b/>
        </w:rPr>
      </w:pPr>
    </w:p>
    <w:p w:rsidR="00030BD8" w:rsidRDefault="00030BD8" w:rsidP="00E75BAA">
      <w:pPr>
        <w:jc w:val="both"/>
        <w:rPr>
          <w:rFonts w:ascii="BentonSans Book" w:hAnsi="BentonSans Book"/>
          <w:b/>
        </w:rPr>
      </w:pPr>
    </w:p>
    <w:p w:rsidR="00030BD8" w:rsidRDefault="00030BD8" w:rsidP="00E75BAA">
      <w:pPr>
        <w:jc w:val="both"/>
        <w:rPr>
          <w:rFonts w:ascii="BentonSans Book" w:hAnsi="BentonSans Book"/>
          <w:b/>
        </w:rPr>
      </w:pPr>
    </w:p>
    <w:p w:rsidR="00030BD8" w:rsidRDefault="00030BD8" w:rsidP="00E75BAA">
      <w:pPr>
        <w:jc w:val="both"/>
        <w:rPr>
          <w:rFonts w:ascii="BentonSans Book" w:hAnsi="BentonSans Book"/>
          <w:b/>
        </w:rPr>
      </w:pPr>
    </w:p>
    <w:p w:rsidR="00E75BAA" w:rsidRDefault="00E75BAA" w:rsidP="00E75BAA">
      <w:pPr>
        <w:jc w:val="both"/>
        <w:rPr>
          <w:rFonts w:ascii="BentonSans Book" w:hAnsi="BentonSans Book"/>
        </w:rPr>
      </w:pPr>
      <w:r w:rsidRPr="005B2791">
        <w:rPr>
          <w:rFonts w:ascii="BentonSans Book" w:hAnsi="BentonSans Book"/>
          <w:b/>
        </w:rPr>
        <w:t>Source:</w:t>
      </w:r>
      <w:r w:rsidRPr="005B2791">
        <w:rPr>
          <w:rFonts w:ascii="BentonSans Book" w:hAnsi="BentonSans Book"/>
        </w:rPr>
        <w:t xml:space="preserve"> Credit Survey Findings</w:t>
      </w:r>
    </w:p>
    <w:p w:rsidR="001478EA" w:rsidRPr="001478EA" w:rsidRDefault="001478EA" w:rsidP="001478EA">
      <w:pPr>
        <w:jc w:val="both"/>
        <w:rPr>
          <w:rFonts w:ascii="BentonSans Book" w:hAnsi="BentonSans Book"/>
        </w:rPr>
      </w:pPr>
    </w:p>
    <w:p w:rsidR="00E75BAA" w:rsidRPr="00F61B80" w:rsidRDefault="00B60757" w:rsidP="00E75BAA">
      <w:pPr>
        <w:jc w:val="both"/>
        <w:rPr>
          <w:rFonts w:ascii="BentonSans Bold" w:hAnsi="BentonSans Bold"/>
          <w:b/>
        </w:rPr>
      </w:pPr>
      <w:r>
        <w:rPr>
          <w:rFonts w:ascii="BentonSans Bold" w:hAnsi="BentonSans Bold"/>
          <w:b/>
        </w:rPr>
        <w:t>2.3</w:t>
      </w:r>
      <w:r w:rsidR="00F61B80">
        <w:rPr>
          <w:rFonts w:ascii="BentonSans Bold" w:hAnsi="BentonSans Bold"/>
          <w:b/>
        </w:rPr>
        <w:t xml:space="preserve"> </w:t>
      </w:r>
      <w:r w:rsidR="004B5A6E">
        <w:rPr>
          <w:rFonts w:ascii="BentonSans Bold" w:hAnsi="BentonSans Bold"/>
          <w:b/>
        </w:rPr>
        <w:t>The Assets Quality of Banks</w:t>
      </w:r>
    </w:p>
    <w:p w:rsidR="009B54F3" w:rsidRPr="00897D31" w:rsidRDefault="004B5A6E" w:rsidP="009B54F3">
      <w:pPr>
        <w:pStyle w:val="NoSpacing"/>
        <w:spacing w:line="360" w:lineRule="auto"/>
        <w:jc w:val="both"/>
        <w:rPr>
          <w:rFonts w:ascii="BentonSans Book" w:hAnsi="BentonSans Book" w:cs="Arial"/>
          <w:lang w:eastAsia="en-GB"/>
        </w:rPr>
      </w:pPr>
      <w:r w:rsidRPr="00897D31">
        <w:rPr>
          <w:rFonts w:ascii="BentonSans Book" w:hAnsi="BentonSans Book" w:cs="Arial"/>
          <w:lang w:eastAsia="en-GB"/>
        </w:rPr>
        <w:t>T</w:t>
      </w:r>
      <w:r w:rsidR="009B54F3" w:rsidRPr="00897D31">
        <w:rPr>
          <w:rFonts w:ascii="BentonSans Book" w:hAnsi="BentonSans Book" w:cs="Arial"/>
          <w:lang w:eastAsia="en-GB"/>
        </w:rPr>
        <w:t>he aggregate banking sector non-performing loan ratio reduced from 6.9 percent in June 2018 to 5.6 percent in June 2019. In terms of amount,  non-performing loans  reduced from FRW 137.6  billion in June 2018 to FRW 125.3 billion in June 2019. The reduction of non-performing loans is attributed to three factors namely improved economic performance, increased lending and write offs. From a sectoral perspective, the NPLs ratio dropped in key sectors including the agriculture, manufacturing, mortgage, hotels, transport and communication.  The reduction of NPLs ratio in these sectors mainly reflecting increased lending and write offs to these sectors during the first half of 2019.</w:t>
      </w:r>
      <w:bookmarkStart w:id="0" w:name="_GoBack"/>
      <w:bookmarkEnd w:id="0"/>
    </w:p>
    <w:p w:rsidR="009B54F3" w:rsidRPr="00897D31" w:rsidRDefault="009B54F3" w:rsidP="009B54F3">
      <w:pPr>
        <w:pStyle w:val="NoSpacing"/>
        <w:rPr>
          <w:lang w:eastAsia="en-GB"/>
        </w:rPr>
      </w:pPr>
    </w:p>
    <w:p w:rsidR="009B54F3" w:rsidRPr="00897D31" w:rsidRDefault="009B54F3" w:rsidP="009B54F3">
      <w:pPr>
        <w:autoSpaceDE w:val="0"/>
        <w:autoSpaceDN w:val="0"/>
        <w:adjustRightInd w:val="0"/>
        <w:spacing w:after="0" w:line="360" w:lineRule="auto"/>
        <w:jc w:val="both"/>
        <w:rPr>
          <w:rFonts w:ascii="BentonSans Book" w:hAnsi="BentonSans Book" w:cs="Arial"/>
          <w:lang w:eastAsia="en-GB"/>
        </w:rPr>
      </w:pPr>
      <w:r w:rsidRPr="00897D31">
        <w:rPr>
          <w:rFonts w:ascii="BentonSans Book" w:hAnsi="BentonSans Book" w:cs="Arial"/>
          <w:lang w:eastAsia="en-GB"/>
        </w:rPr>
        <w:t>Nevertheless, NPLs ratio increased in trade and mining. NPLs ratio in trade sector increased from 11.5 percent in June 2018 to 15 percent in June 2019. During the same period, NPLs ratio in mining sector increased from 0.6 percent to 88.4 percent. In nominal value, non-performing loans in trade increased form FRW 32.6 billion in June 2018 to FRW 45.1 billion in June 2019, while in mining NPLs increased from FRW 22 million in June 2018 to FRW 2.9 billion in June 2019. The increase of NPLs in trade and mining is attributed to few big loans that underperformed in trade and the deceleration of commodity prices that affected the exports revenues from minerals.</w:t>
      </w:r>
    </w:p>
    <w:p w:rsidR="00740525" w:rsidRPr="00897D31" w:rsidRDefault="00740525" w:rsidP="009B54F3">
      <w:pPr>
        <w:autoSpaceDE w:val="0"/>
        <w:autoSpaceDN w:val="0"/>
        <w:adjustRightInd w:val="0"/>
        <w:spacing w:after="0" w:line="360" w:lineRule="auto"/>
        <w:jc w:val="both"/>
        <w:rPr>
          <w:rFonts w:ascii="BentonSans Book" w:hAnsi="BentonSans Book" w:cs="Arial"/>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740525" w:rsidRPr="004B5A6E" w:rsidRDefault="00740525" w:rsidP="009B54F3">
      <w:pPr>
        <w:autoSpaceDE w:val="0"/>
        <w:autoSpaceDN w:val="0"/>
        <w:adjustRightInd w:val="0"/>
        <w:spacing w:after="0" w:line="360" w:lineRule="auto"/>
        <w:jc w:val="both"/>
        <w:rPr>
          <w:rFonts w:ascii="BentonSans Book" w:hAnsi="BentonSans Book" w:cs="Arial"/>
          <w:color w:val="C00000"/>
          <w:lang w:eastAsia="en-GB"/>
        </w:rPr>
      </w:pPr>
    </w:p>
    <w:p w:rsidR="009B54F3" w:rsidRDefault="009B54F3" w:rsidP="009B54F3">
      <w:pPr>
        <w:jc w:val="both"/>
        <w:rPr>
          <w:rFonts w:ascii="BentonSans Book" w:eastAsia="Times New Roman" w:hAnsi="BentonSans Book" w:cs="Times New Roman"/>
          <w:color w:val="C00000"/>
        </w:rPr>
      </w:pPr>
    </w:p>
    <w:p w:rsidR="004B5A6E" w:rsidRPr="004B5A6E" w:rsidRDefault="009B54F3" w:rsidP="004B5A6E">
      <w:pPr>
        <w:pStyle w:val="NormalWeb"/>
        <w:spacing w:before="120" w:after="120" w:line="360" w:lineRule="auto"/>
        <w:rPr>
          <w:rFonts w:ascii="BentonSans Black" w:hAnsi="BentonSans Black"/>
          <w:b/>
          <w:sz w:val="22"/>
          <w:szCs w:val="22"/>
        </w:rPr>
      </w:pPr>
      <w:r>
        <w:rPr>
          <w:rFonts w:ascii="BentonSans Black" w:hAnsi="BentonSans Black"/>
          <w:b/>
          <w:sz w:val="22"/>
          <w:szCs w:val="22"/>
        </w:rPr>
        <w:lastRenderedPageBreak/>
        <w:t>Tab</w:t>
      </w:r>
      <w:r w:rsidR="004B5A6E">
        <w:rPr>
          <w:rFonts w:ascii="BentonSans Black" w:hAnsi="BentonSans Black"/>
          <w:b/>
          <w:sz w:val="22"/>
          <w:szCs w:val="22"/>
        </w:rPr>
        <w:t>le 2</w:t>
      </w:r>
      <w:r w:rsidRPr="00B709F4">
        <w:rPr>
          <w:rFonts w:ascii="BentonSans Black" w:hAnsi="BentonSans Black"/>
          <w:b/>
          <w:sz w:val="22"/>
          <w:szCs w:val="22"/>
        </w:rPr>
        <w:t>: Non-Performing Loans Ratio by Activity Sector</w:t>
      </w:r>
    </w:p>
    <w:tbl>
      <w:tblPr>
        <w:tblW w:w="6053" w:type="dxa"/>
        <w:tblCellMar>
          <w:left w:w="0" w:type="dxa"/>
          <w:right w:w="0" w:type="dxa"/>
        </w:tblCellMar>
        <w:tblLook w:val="0600" w:firstRow="0" w:lastRow="0" w:firstColumn="0" w:lastColumn="0" w:noHBand="1" w:noVBand="1"/>
      </w:tblPr>
      <w:tblGrid>
        <w:gridCol w:w="3107"/>
        <w:gridCol w:w="986"/>
        <w:gridCol w:w="980"/>
        <w:gridCol w:w="980"/>
      </w:tblGrid>
      <w:tr w:rsidR="00740525" w:rsidRPr="00740525" w:rsidTr="00740525">
        <w:trPr>
          <w:trHeight w:val="229"/>
        </w:trPr>
        <w:tc>
          <w:tcPr>
            <w:tcW w:w="3107" w:type="dxa"/>
            <w:tcBorders>
              <w:top w:val="single" w:sz="4" w:space="0" w:color="auto"/>
              <w:left w:val="single" w:sz="4" w:space="0" w:color="auto"/>
              <w:bottom w:val="single" w:sz="4" w:space="0" w:color="auto"/>
              <w:right w:val="single" w:sz="4" w:space="0" w:color="auto"/>
            </w:tcBorders>
            <w:shd w:val="clear" w:color="auto" w:fill="FFC000"/>
            <w:tcMar>
              <w:top w:w="15" w:type="dxa"/>
              <w:left w:w="15" w:type="dxa"/>
              <w:bottom w:w="0" w:type="dxa"/>
              <w:right w:w="15" w:type="dxa"/>
            </w:tcMar>
            <w:vAlign w:val="bottom"/>
          </w:tcPr>
          <w:p w:rsidR="004B5A6E" w:rsidRPr="00740525" w:rsidRDefault="00740525" w:rsidP="00740525">
            <w:pPr>
              <w:rPr>
                <w:rFonts w:ascii="BentonSans Bold" w:hAnsi="BentonSans Bold"/>
                <w:bCs/>
              </w:rPr>
            </w:pPr>
            <w:r w:rsidRPr="00740525">
              <w:rPr>
                <w:rFonts w:ascii="BentonSans Bold" w:hAnsi="BentonSans Bold"/>
                <w:bCs/>
              </w:rPr>
              <w:t>NPLs Ratio (%)</w:t>
            </w:r>
          </w:p>
        </w:tc>
        <w:tc>
          <w:tcPr>
            <w:tcW w:w="986" w:type="dxa"/>
            <w:tcBorders>
              <w:top w:val="single" w:sz="4" w:space="0" w:color="auto"/>
              <w:left w:val="single" w:sz="4" w:space="0" w:color="auto"/>
              <w:bottom w:val="single" w:sz="4" w:space="0" w:color="auto"/>
              <w:right w:val="single" w:sz="4" w:space="0" w:color="000000"/>
            </w:tcBorders>
            <w:shd w:val="clear" w:color="auto" w:fill="FFC000"/>
            <w:tcMar>
              <w:top w:w="15" w:type="dxa"/>
              <w:left w:w="15" w:type="dxa"/>
              <w:bottom w:w="0" w:type="dxa"/>
              <w:right w:w="15" w:type="dxa"/>
            </w:tcMar>
            <w:vAlign w:val="bottom"/>
          </w:tcPr>
          <w:p w:rsidR="004B5A6E" w:rsidRPr="00740525" w:rsidRDefault="004B5A6E" w:rsidP="00740525">
            <w:pPr>
              <w:jc w:val="center"/>
              <w:rPr>
                <w:rFonts w:ascii="BentonSans Bold" w:hAnsi="BentonSans Bold"/>
                <w:bCs/>
              </w:rPr>
            </w:pPr>
            <w:r w:rsidRPr="00740525">
              <w:rPr>
                <w:rFonts w:ascii="BentonSans Bold" w:hAnsi="BentonSans Bold"/>
                <w:bCs/>
              </w:rPr>
              <w:t>Sep-17</w:t>
            </w:r>
          </w:p>
        </w:tc>
        <w:tc>
          <w:tcPr>
            <w:tcW w:w="980" w:type="dxa"/>
            <w:tcBorders>
              <w:top w:val="single" w:sz="4" w:space="0" w:color="auto"/>
              <w:left w:val="single" w:sz="4" w:space="0" w:color="000000"/>
              <w:bottom w:val="single" w:sz="4" w:space="0" w:color="auto"/>
              <w:right w:val="single" w:sz="4" w:space="0" w:color="auto"/>
            </w:tcBorders>
            <w:shd w:val="clear" w:color="auto" w:fill="FFC000"/>
            <w:tcMar>
              <w:top w:w="15" w:type="dxa"/>
              <w:left w:w="15" w:type="dxa"/>
              <w:bottom w:w="0" w:type="dxa"/>
              <w:right w:w="15" w:type="dxa"/>
            </w:tcMar>
            <w:vAlign w:val="bottom"/>
          </w:tcPr>
          <w:p w:rsidR="004B5A6E" w:rsidRPr="00740525" w:rsidRDefault="004B5A6E" w:rsidP="00740525">
            <w:pPr>
              <w:jc w:val="center"/>
              <w:rPr>
                <w:rFonts w:ascii="BentonSans Bold" w:hAnsi="BentonSans Bold"/>
                <w:bCs/>
              </w:rPr>
            </w:pPr>
            <w:r w:rsidRPr="00740525">
              <w:rPr>
                <w:rFonts w:ascii="BentonSans Bold" w:hAnsi="BentonSans Bold"/>
                <w:bCs/>
              </w:rPr>
              <w:t>Sep-18</w:t>
            </w:r>
          </w:p>
        </w:tc>
        <w:tc>
          <w:tcPr>
            <w:tcW w:w="980" w:type="dxa"/>
            <w:tcBorders>
              <w:top w:val="single" w:sz="4" w:space="0" w:color="auto"/>
              <w:left w:val="single" w:sz="4" w:space="0" w:color="auto"/>
              <w:bottom w:val="single" w:sz="4" w:space="0" w:color="000000"/>
              <w:right w:val="single" w:sz="4" w:space="0" w:color="000000"/>
            </w:tcBorders>
            <w:shd w:val="clear" w:color="auto" w:fill="FFC000"/>
            <w:tcMar>
              <w:top w:w="15" w:type="dxa"/>
              <w:left w:w="15" w:type="dxa"/>
              <w:bottom w:w="0" w:type="dxa"/>
              <w:right w:w="15" w:type="dxa"/>
            </w:tcMar>
            <w:vAlign w:val="bottom"/>
          </w:tcPr>
          <w:p w:rsidR="004B5A6E" w:rsidRPr="00740525" w:rsidRDefault="004B5A6E" w:rsidP="00740525">
            <w:pPr>
              <w:jc w:val="center"/>
              <w:rPr>
                <w:rFonts w:ascii="BentonSans Bold" w:hAnsi="BentonSans Bold"/>
                <w:bCs/>
              </w:rPr>
            </w:pPr>
            <w:r w:rsidRPr="00740525">
              <w:rPr>
                <w:rFonts w:ascii="BentonSans Bold" w:hAnsi="BentonSans Bold"/>
                <w:bCs/>
              </w:rPr>
              <w:t>Sep-19</w:t>
            </w:r>
          </w:p>
        </w:tc>
      </w:tr>
      <w:tr w:rsidR="00740525" w:rsidRPr="00740525" w:rsidTr="00740525">
        <w:trPr>
          <w:trHeight w:val="229"/>
        </w:trPr>
        <w:tc>
          <w:tcPr>
            <w:tcW w:w="310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Personal loans</w:t>
            </w:r>
          </w:p>
        </w:tc>
        <w:tc>
          <w:tcPr>
            <w:tcW w:w="98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6.1</w:t>
            </w:r>
          </w:p>
        </w:tc>
        <w:tc>
          <w:tcPr>
            <w:tcW w:w="9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6.3</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5.3</w:t>
            </w:r>
          </w:p>
        </w:tc>
      </w:tr>
      <w:tr w:rsidR="00740525" w:rsidRPr="00740525" w:rsidTr="00740525">
        <w:trPr>
          <w:trHeight w:val="353"/>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Agriculture</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17.8</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7.9</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5.5</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 xml:space="preserve">Mining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0.9</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84.3</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 xml:space="preserve">Manufacturing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12.7</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11.4</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1.2</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 xml:space="preserve">Water &amp; energy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0.0</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 xml:space="preserve">Mortgage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6.0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4.6</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4.2</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4B5A6E" w:rsidRPr="00740525" w:rsidRDefault="004B5A6E" w:rsidP="004B5A6E">
            <w:pPr>
              <w:rPr>
                <w:rFonts w:ascii="BentonSans Book" w:hAnsi="BentonSans Book"/>
                <w:b/>
                <w:i/>
              </w:rPr>
            </w:pPr>
            <w:r w:rsidRPr="00740525">
              <w:rPr>
                <w:rFonts w:ascii="BentonSans Book" w:hAnsi="BentonSans Book"/>
                <w:b/>
                <w:i/>
              </w:rPr>
              <w:t xml:space="preserve">  Public Works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10.8</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4.8</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1.6</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4B5A6E" w:rsidRPr="00740525" w:rsidRDefault="004B5A6E" w:rsidP="004B5A6E">
            <w:pPr>
              <w:rPr>
                <w:rFonts w:ascii="BentonSans Book" w:hAnsi="BentonSans Book"/>
                <w:b/>
                <w:i/>
              </w:rPr>
            </w:pPr>
            <w:r w:rsidRPr="00740525">
              <w:rPr>
                <w:rFonts w:ascii="BentonSans Book" w:hAnsi="BentonSans Book"/>
                <w:b/>
                <w:i/>
              </w:rPr>
              <w:t xml:space="preserve">  Residential Houses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6.1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5.2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5.2</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bottom"/>
            <w:hideMark/>
          </w:tcPr>
          <w:p w:rsidR="004B5A6E" w:rsidRPr="00740525" w:rsidRDefault="004B5A6E" w:rsidP="004B5A6E">
            <w:pPr>
              <w:rPr>
                <w:rFonts w:ascii="BentonSans Book" w:hAnsi="BentonSans Book"/>
                <w:b/>
                <w:i/>
              </w:rPr>
            </w:pPr>
            <w:r w:rsidRPr="00740525">
              <w:rPr>
                <w:rFonts w:ascii="BentonSans Book" w:hAnsi="BentonSans Book"/>
                <w:b/>
                <w:i/>
              </w:rPr>
              <w:t xml:space="preserve">  Commercial Houses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3.7</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3.9</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i/>
              </w:rPr>
            </w:pPr>
            <w:r w:rsidRPr="00740525">
              <w:rPr>
                <w:rFonts w:ascii="BentonSans Book" w:hAnsi="BentonSans Book"/>
                <w:b/>
                <w:i/>
              </w:rPr>
              <w:t>4.2</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Trade</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12.1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10.5</w:t>
            </w:r>
          </w:p>
        </w:tc>
      </w:tr>
      <w:tr w:rsidR="00740525" w:rsidRPr="00740525" w:rsidTr="00740525">
        <w:trPr>
          <w:trHeight w:val="286"/>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Hotels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7.2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12.7</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7.7</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Transport &amp; Communication</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2.5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3.2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1.3</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 xml:space="preserve"> OFI &amp;Insurance</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3.5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2.1</w:t>
            </w:r>
          </w:p>
        </w:tc>
      </w:tr>
      <w:tr w:rsidR="00740525" w:rsidRPr="00740525" w:rsidTr="00740525">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4B5A6E">
            <w:pPr>
              <w:rPr>
                <w:rFonts w:ascii="BentonSans Book" w:hAnsi="BentonSans Book"/>
                <w:b/>
              </w:rPr>
            </w:pPr>
            <w:r w:rsidRPr="00740525">
              <w:rPr>
                <w:rFonts w:ascii="BentonSans Book" w:hAnsi="BentonSans Book"/>
                <w:b/>
              </w:rPr>
              <w:t>Other Services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11.5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B5A6E" w:rsidRPr="00740525" w:rsidRDefault="004B5A6E" w:rsidP="00740525">
            <w:pPr>
              <w:jc w:val="center"/>
              <w:rPr>
                <w:rFonts w:ascii="BentonSans Book" w:hAnsi="BentonSans Book"/>
                <w:b/>
              </w:rPr>
            </w:pPr>
            <w:r w:rsidRPr="00740525">
              <w:rPr>
                <w:rFonts w:ascii="BentonSans Book" w:hAnsi="BentonSans Book"/>
                <w:b/>
              </w:rPr>
              <w:t>5.5</w:t>
            </w:r>
          </w:p>
        </w:tc>
      </w:tr>
    </w:tbl>
    <w:p w:rsidR="009B54F3" w:rsidRDefault="009B54F3" w:rsidP="009B54F3">
      <w:pPr>
        <w:rPr>
          <w:rFonts w:ascii="BentonSans Book" w:hAnsi="BentonSans Book"/>
        </w:rPr>
      </w:pPr>
      <w:r w:rsidRPr="009D1113">
        <w:rPr>
          <w:rFonts w:ascii="BentonSans Book" w:hAnsi="BentonSans Book"/>
          <w:b/>
        </w:rPr>
        <w:t>Source:</w:t>
      </w:r>
      <w:r w:rsidRPr="009D1113">
        <w:rPr>
          <w:rFonts w:ascii="BentonSans Book" w:hAnsi="BentonSans Book"/>
        </w:rPr>
        <w:t xml:space="preserve"> Credit Survey Findings</w:t>
      </w:r>
    </w:p>
    <w:p w:rsidR="009B54F3" w:rsidRDefault="009B54F3" w:rsidP="009B54F3">
      <w:pPr>
        <w:rPr>
          <w:rFonts w:ascii="BentonSans Book" w:hAnsi="BentonSans Book"/>
        </w:rPr>
      </w:pPr>
    </w:p>
    <w:p w:rsidR="00F56D51" w:rsidRDefault="00F56D51" w:rsidP="00E75BAA">
      <w:pPr>
        <w:jc w:val="both"/>
        <w:rPr>
          <w:rFonts w:ascii="BentonSans Bold" w:hAnsi="BentonSans Bold"/>
          <w:b/>
        </w:rPr>
      </w:pPr>
    </w:p>
    <w:p w:rsidR="00E75BAA" w:rsidRPr="00F61B80" w:rsidRDefault="00F61B80" w:rsidP="00E75BAA">
      <w:pPr>
        <w:jc w:val="both"/>
        <w:rPr>
          <w:rFonts w:ascii="BentonSans Bold" w:hAnsi="BentonSans Bold"/>
          <w:b/>
        </w:rPr>
      </w:pPr>
      <w:r w:rsidRPr="00F61B80">
        <w:rPr>
          <w:rFonts w:ascii="BentonSans Bold" w:hAnsi="BentonSans Bold"/>
          <w:b/>
        </w:rPr>
        <w:t xml:space="preserve">2. </w:t>
      </w:r>
      <w:r w:rsidR="00D3694A">
        <w:rPr>
          <w:rFonts w:ascii="BentonSans Bold" w:hAnsi="BentonSans Bold"/>
          <w:b/>
        </w:rPr>
        <w:t>4</w:t>
      </w:r>
      <w:r w:rsidR="00A82F47">
        <w:rPr>
          <w:rFonts w:ascii="BentonSans Bold" w:hAnsi="BentonSans Bold"/>
          <w:b/>
        </w:rPr>
        <w:t xml:space="preserve"> Prospects for Q4 2019</w:t>
      </w:r>
    </w:p>
    <w:p w:rsidR="00E75BAA" w:rsidRPr="005B2791" w:rsidRDefault="00E75BAA" w:rsidP="00E75BAA">
      <w:pPr>
        <w:spacing w:line="360" w:lineRule="auto"/>
        <w:jc w:val="both"/>
        <w:rPr>
          <w:rFonts w:ascii="BentonSans Book" w:hAnsi="BentonSans Book"/>
        </w:rPr>
      </w:pPr>
      <w:r w:rsidRPr="005B2791">
        <w:rPr>
          <w:rFonts w:ascii="BentonSans Book" w:hAnsi="BentonSans Book"/>
        </w:rPr>
        <w:t>Banks expect demand for loans to continue incr</w:t>
      </w:r>
      <w:r w:rsidR="009E689F">
        <w:rPr>
          <w:rFonts w:ascii="BentonSans Book" w:hAnsi="BentonSans Book"/>
        </w:rPr>
        <w:t>easing for the remainder of 2019</w:t>
      </w:r>
      <w:r w:rsidRPr="005B2791">
        <w:rPr>
          <w:rFonts w:ascii="BentonSans Book" w:hAnsi="BentonSans Book"/>
        </w:rPr>
        <w:t>. In the quarter to Decembe</w:t>
      </w:r>
      <w:r w:rsidR="009E689F">
        <w:rPr>
          <w:rFonts w:ascii="BentonSans Book" w:hAnsi="BentonSans Book"/>
        </w:rPr>
        <w:t>r 2019, most banks (12 out of 16 banks</w:t>
      </w:r>
      <w:r w:rsidRPr="005B2791">
        <w:rPr>
          <w:rFonts w:ascii="BentonSans Book" w:hAnsi="BentonSans Book"/>
        </w:rPr>
        <w:t xml:space="preserve">) anticipate an overall increase in demand for credit that cuts across enterprises and households. Some of the major reasons given for the expected increase in demand for loans include: a) expected business opportunities resulting from improved economic performance, b) increased demand for consumer loans due to festive season and c) stable lending interest rate. </w:t>
      </w:r>
    </w:p>
    <w:p w:rsidR="00E75BAA" w:rsidRDefault="009E689F" w:rsidP="00E75BAA">
      <w:pPr>
        <w:spacing w:line="360" w:lineRule="auto"/>
        <w:jc w:val="both"/>
        <w:rPr>
          <w:rFonts w:ascii="BentonSans Book" w:hAnsi="BentonSans Book"/>
        </w:rPr>
      </w:pPr>
      <w:r>
        <w:rPr>
          <w:rFonts w:ascii="BentonSans Book" w:hAnsi="BentonSans Book"/>
        </w:rPr>
        <w:t>Regarding the lending interest rate movement, most banks (13 out of 16 banks) expect the overall lending interest rate to remain broadly unchanged in the quarter to December 2019</w:t>
      </w:r>
      <w:r w:rsidR="00E75BAA" w:rsidRPr="005B2791">
        <w:rPr>
          <w:rFonts w:ascii="BentonSans Book" w:hAnsi="BentonSans Book"/>
        </w:rPr>
        <w:t xml:space="preserve">. </w:t>
      </w:r>
      <w:r w:rsidR="00E75BAA" w:rsidRPr="005B2791">
        <w:rPr>
          <w:rFonts w:ascii="BentonSans Book" w:hAnsi="BentonSans Book"/>
        </w:rPr>
        <w:lastRenderedPageBreak/>
        <w:t>Banks cited the</w:t>
      </w:r>
      <w:r w:rsidR="00134375">
        <w:rPr>
          <w:rFonts w:ascii="BentonSans Book" w:hAnsi="BentonSans Book"/>
        </w:rPr>
        <w:t xml:space="preserve"> competition in the industry,</w:t>
      </w:r>
      <w:r w:rsidR="00E75BAA" w:rsidRPr="005B2791">
        <w:rPr>
          <w:rFonts w:ascii="BentonSans Book" w:hAnsi="BentonSans Book"/>
        </w:rPr>
        <w:t xml:space="preserve"> </w:t>
      </w:r>
      <w:r w:rsidR="00134375">
        <w:rPr>
          <w:rFonts w:ascii="BentonSans Book" w:hAnsi="BentonSans Book"/>
        </w:rPr>
        <w:t xml:space="preserve">and favorable funding conditions </w:t>
      </w:r>
      <w:r w:rsidR="00E75BAA" w:rsidRPr="005B2791">
        <w:rPr>
          <w:rFonts w:ascii="BentonSans Book" w:hAnsi="BentonSans Book"/>
        </w:rPr>
        <w:t>as the major reasons driving these expectations.</w:t>
      </w: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Pr="005B2791" w:rsidRDefault="00A82F47" w:rsidP="00E75BAA">
      <w:pPr>
        <w:spacing w:line="360" w:lineRule="auto"/>
        <w:jc w:val="both"/>
        <w:rPr>
          <w:rFonts w:ascii="BentonSans Book" w:hAnsi="BentonSans Book"/>
        </w:rPr>
      </w:pPr>
    </w:p>
    <w:p w:rsidR="00E75BAA" w:rsidRPr="00F61B80" w:rsidRDefault="00E75BAA" w:rsidP="00E75BAA">
      <w:pPr>
        <w:spacing w:after="0" w:line="240" w:lineRule="auto"/>
        <w:jc w:val="both"/>
        <w:rPr>
          <w:rFonts w:ascii="BentonSans Bold" w:hAnsi="BentonSans Bold"/>
          <w:b/>
        </w:rPr>
      </w:pPr>
      <w:r w:rsidRPr="00F61B80">
        <w:rPr>
          <w:rFonts w:ascii="BentonSans Bold" w:hAnsi="BentonSans Bold"/>
          <w:b/>
        </w:rPr>
        <w:t>5. List of Respondents</w:t>
      </w:r>
    </w:p>
    <w:p w:rsidR="00E75BAA" w:rsidRPr="00F61B80" w:rsidRDefault="00E75BAA" w:rsidP="00E75BAA">
      <w:pPr>
        <w:spacing w:after="0" w:line="240" w:lineRule="auto"/>
        <w:jc w:val="both"/>
        <w:rPr>
          <w:rFonts w:ascii="BentonSans Bold" w:hAnsi="BentonSans Bold"/>
          <w:b/>
        </w:rPr>
      </w:pPr>
    </w:p>
    <w:tbl>
      <w:tblPr>
        <w:tblW w:w="7549" w:type="dxa"/>
        <w:tblLook w:val="04A0" w:firstRow="1" w:lastRow="0" w:firstColumn="1" w:lastColumn="0" w:noHBand="0" w:noVBand="1"/>
      </w:tblPr>
      <w:tblGrid>
        <w:gridCol w:w="791"/>
        <w:gridCol w:w="6758"/>
      </w:tblGrid>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AB BANK </w:t>
            </w:r>
            <w:r w:rsidR="00CE3163" w:rsidRPr="005B2791">
              <w:rPr>
                <w:rFonts w:ascii="BentonSans Book" w:eastAsia="Times New Roman" w:hAnsi="BentonSans Book" w:cs="Calibri"/>
              </w:rPr>
              <w:t xml:space="preserve">RWANDA </w:t>
            </w:r>
            <w:r w:rsidRPr="005B2791">
              <w:rPr>
                <w:rFonts w:ascii="BentonSans Book" w:eastAsia="Times New Roman" w:hAnsi="BentonSans Book" w:cs="Calibri"/>
              </w:rPr>
              <w:t xml:space="preserve">Ltd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ACCESS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3.</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AFRICA RWANDA </w:t>
            </w:r>
            <w:r w:rsidR="00CE3163" w:rsidRPr="005B2791">
              <w:rPr>
                <w:rFonts w:ascii="BentonSans Book" w:eastAsia="Times New Roman" w:hAnsi="BentonSans Book" w:cs="Calibri"/>
              </w:rPr>
              <w:t>Plc</w:t>
            </w:r>
            <w:r w:rsidRPr="005B2791">
              <w:rPr>
                <w:rFonts w:ascii="BentonSans Book" w:eastAsia="Times New Roman" w:hAnsi="BentonSans Book" w:cs="Calibri"/>
                <w:b/>
                <w:bCs/>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4.</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BANK OF KIGALI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5.</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B</w:t>
            </w:r>
            <w:r w:rsidR="00CD29D1" w:rsidRPr="005B2791">
              <w:rPr>
                <w:rFonts w:ascii="BentonSans Book" w:eastAsia="Times New Roman" w:hAnsi="BentonSans Book" w:cs="Calibri"/>
              </w:rPr>
              <w:t xml:space="preserve">ANQUE </w:t>
            </w:r>
            <w:r w:rsidRPr="005B2791">
              <w:rPr>
                <w:rFonts w:ascii="BentonSans Book" w:eastAsia="Times New Roman" w:hAnsi="BentonSans Book" w:cs="Calibri"/>
              </w:rPr>
              <w:t>P</w:t>
            </w:r>
            <w:r w:rsidR="00CD29D1" w:rsidRPr="005B2791">
              <w:rPr>
                <w:rFonts w:ascii="BentonSans Book" w:eastAsia="Times New Roman" w:hAnsi="BentonSans Book" w:cs="Calibri"/>
              </w:rPr>
              <w:t xml:space="preserve">OPULAIRE DU </w:t>
            </w:r>
            <w:r w:rsidRPr="005B2791">
              <w:rPr>
                <w:rFonts w:ascii="BentonSans Book" w:eastAsia="Times New Roman" w:hAnsi="BentonSans Book" w:cs="Calibri"/>
              </w:rPr>
              <w:t>R</w:t>
            </w:r>
            <w:r w:rsidR="00CD29D1" w:rsidRPr="005B2791">
              <w:rPr>
                <w:rFonts w:ascii="BentonSans Book" w:eastAsia="Times New Roman" w:hAnsi="BentonSans Book" w:cs="Calibri"/>
              </w:rPr>
              <w:t xml:space="preserve">WANDA </w:t>
            </w:r>
            <w:r w:rsidRPr="005B2791">
              <w:rPr>
                <w:rFonts w:ascii="BentonSans Book" w:eastAsia="Times New Roman" w:hAnsi="BentonSans Book" w:cs="Calibri"/>
              </w:rPr>
              <w:t xml:space="preserve">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6.</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C</w:t>
            </w:r>
            <w:r w:rsidR="00CD29D1" w:rsidRPr="005B2791">
              <w:rPr>
                <w:rFonts w:ascii="BentonSans Book" w:eastAsia="Times New Roman" w:hAnsi="BentonSans Book" w:cs="Calibri"/>
              </w:rPr>
              <w:t xml:space="preserve">OMMERCIAL </w:t>
            </w:r>
            <w:r w:rsidRPr="005B2791">
              <w:rPr>
                <w:rFonts w:ascii="BentonSans Book" w:eastAsia="Times New Roman" w:hAnsi="BentonSans Book" w:cs="Calibri"/>
              </w:rPr>
              <w:t>B</w:t>
            </w:r>
            <w:r w:rsidR="00CD29D1" w:rsidRPr="005B2791">
              <w:rPr>
                <w:rFonts w:ascii="BentonSans Book" w:eastAsia="Times New Roman" w:hAnsi="BentonSans Book" w:cs="Calibri"/>
              </w:rPr>
              <w:t xml:space="preserve">ANK OF AFRICA </w:t>
            </w:r>
            <w:r w:rsidRPr="005B2791">
              <w:rPr>
                <w:rFonts w:ascii="BentonSans Book" w:eastAsia="Times New Roman" w:hAnsi="BentonSans Book" w:cs="Calibri"/>
              </w:rPr>
              <w:t xml:space="preserve"> </w:t>
            </w:r>
            <w:r w:rsidR="00CD29D1" w:rsidRPr="005B2791">
              <w:rPr>
                <w:rFonts w:ascii="BentonSans Book" w:eastAsia="Times New Roman" w:hAnsi="BentonSans Book" w:cs="Calibri"/>
              </w:rPr>
              <w:t>(</w:t>
            </w:r>
            <w:r w:rsidR="00394228" w:rsidRPr="005B2791">
              <w:rPr>
                <w:rFonts w:ascii="BentonSans Book" w:eastAsia="Times New Roman" w:hAnsi="BentonSans Book" w:cs="Calibri"/>
              </w:rPr>
              <w:t>RWANDA</w:t>
            </w:r>
            <w:r w:rsidR="00CD29D1" w:rsidRPr="005B2791">
              <w:rPr>
                <w:rFonts w:ascii="BentonSans Book" w:eastAsia="Times New Roman" w:hAnsi="BentonSans Book" w:cs="Calibri"/>
              </w:rPr>
              <w:t>)</w:t>
            </w:r>
            <w:r w:rsidR="00394228" w:rsidRPr="005B2791">
              <w:rPr>
                <w:rFonts w:ascii="BentonSans Book" w:eastAsia="Times New Roman" w:hAnsi="BentonSans Book" w:cs="Calibri"/>
              </w:rPr>
              <w:t xml:space="preserve"> </w:t>
            </w:r>
            <w:r w:rsidR="00CD29D1"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7.</w:t>
            </w:r>
          </w:p>
        </w:tc>
        <w:tc>
          <w:tcPr>
            <w:tcW w:w="6758" w:type="dxa"/>
            <w:tcBorders>
              <w:top w:val="nil"/>
              <w:left w:val="nil"/>
              <w:bottom w:val="nil"/>
              <w:right w:val="nil"/>
            </w:tcBorders>
            <w:shd w:val="clear" w:color="auto" w:fill="auto"/>
            <w:noWrap/>
            <w:vAlign w:val="center"/>
            <w:hideMark/>
          </w:tcPr>
          <w:p w:rsidR="00E75BAA" w:rsidRPr="005B2791" w:rsidRDefault="00CD29D1"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COGEBANQUE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8.</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DEVELOPMENT BANK OF RWANDA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9.</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ECOBANK </w:t>
            </w:r>
            <w:r w:rsidR="00394228" w:rsidRPr="005B2791">
              <w:rPr>
                <w:rFonts w:ascii="BentonSans Book" w:eastAsia="Times New Roman" w:hAnsi="BentonSans Book" w:cs="Calibri"/>
              </w:rPr>
              <w:t xml:space="preserve">RWANDA </w:t>
            </w:r>
            <w:r w:rsidRPr="005B2791">
              <w:rPr>
                <w:rFonts w:ascii="BentonSans Book" w:eastAsia="Times New Roman" w:hAnsi="BentonSans Book" w:cs="Calibri"/>
              </w:rPr>
              <w:t xml:space="preserve">Ltd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10.</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EQUITY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lastRenderedPageBreak/>
              <w:t>11.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G</w:t>
            </w:r>
            <w:r w:rsidR="00CE3163" w:rsidRPr="005B2791">
              <w:rPr>
                <w:rFonts w:ascii="BentonSans Book" w:eastAsia="Times New Roman" w:hAnsi="BentonSans Book" w:cs="Calibri"/>
              </w:rPr>
              <w:t xml:space="preserve">UARANTEE </w:t>
            </w:r>
            <w:r w:rsidRPr="005B2791">
              <w:rPr>
                <w:rFonts w:ascii="BentonSans Book" w:eastAsia="Times New Roman" w:hAnsi="BentonSans Book" w:cs="Calibri"/>
              </w:rPr>
              <w:t>T</w:t>
            </w:r>
            <w:r w:rsidR="00CE3163" w:rsidRPr="005B2791">
              <w:rPr>
                <w:rFonts w:ascii="BentonSans Book" w:eastAsia="Times New Roman" w:hAnsi="BentonSans Book" w:cs="Calibri"/>
              </w:rPr>
              <w:t xml:space="preserve">RUST </w:t>
            </w:r>
            <w:r w:rsidRPr="005B2791">
              <w:rPr>
                <w:rFonts w:ascii="BentonSans Book" w:eastAsia="Times New Roman" w:hAnsi="BentonSans Book" w:cs="Calibri"/>
              </w:rPr>
              <w:t xml:space="preserve">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I&amp;M BANK </w:t>
            </w:r>
            <w:r w:rsidR="00CD29D1"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13.</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KCB RWANDA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14.</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URWEGO BANK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15.</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UNGUKA BANK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16.</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ZIGAMA CSS                                          </w:t>
            </w:r>
          </w:p>
        </w:tc>
      </w:tr>
    </w:tbl>
    <w:p w:rsidR="00E75BAA" w:rsidRPr="005B2791" w:rsidRDefault="00E75BAA" w:rsidP="00A14E49">
      <w:pPr>
        <w:spacing w:line="360" w:lineRule="auto"/>
        <w:ind w:right="-180"/>
        <w:rPr>
          <w:rFonts w:ascii="BentonSans Book" w:hAnsi="BentonSans Book"/>
        </w:rPr>
      </w:pPr>
    </w:p>
    <w:p w:rsidR="00E75BAA" w:rsidRPr="005B2791" w:rsidRDefault="00E75BAA" w:rsidP="00E75BAA">
      <w:pPr>
        <w:ind w:right="-180"/>
        <w:rPr>
          <w:rFonts w:ascii="BentonSans Book" w:hAnsi="BentonSans Book"/>
        </w:rPr>
      </w:pPr>
      <w:r w:rsidRPr="005B2791">
        <w:rPr>
          <w:rFonts w:ascii="BentonSans Book" w:hAnsi="BentonSans Book"/>
        </w:rPr>
        <w:tab/>
      </w:r>
    </w:p>
    <w:p w:rsidR="00E75BAA" w:rsidRPr="005B2791" w:rsidRDefault="00E75BAA" w:rsidP="00E75BAA">
      <w:pPr>
        <w:ind w:right="-180"/>
        <w:rPr>
          <w:rFonts w:ascii="BentonSans Book" w:hAnsi="BentonSans Book"/>
        </w:rPr>
      </w:pPr>
    </w:p>
    <w:p w:rsidR="00E75BAA" w:rsidRPr="008647D2" w:rsidRDefault="00E75BAA" w:rsidP="00E75BAA">
      <w:pPr>
        <w:spacing w:after="0" w:line="240" w:lineRule="auto"/>
        <w:jc w:val="both"/>
        <w:rPr>
          <w:rFonts w:ascii="Bookman Old Style" w:hAnsi="Bookman Old Style"/>
          <w:b/>
        </w:rPr>
      </w:pPr>
    </w:p>
    <w:p w:rsidR="00E75BAA" w:rsidRPr="00625AD1" w:rsidRDefault="00E75BAA" w:rsidP="00E75BAA">
      <w:pPr>
        <w:spacing w:line="360" w:lineRule="auto"/>
        <w:jc w:val="both"/>
        <w:rPr>
          <w:rFonts w:ascii="Bookman Old Style" w:hAnsi="Bookman Old Style"/>
          <w:sz w:val="28"/>
          <w:lang w:val="en-GB"/>
        </w:rPr>
      </w:pPr>
    </w:p>
    <w:p w:rsidR="00E75BAA" w:rsidRDefault="00E75BAA"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r w:rsidRPr="00A97E30">
        <w:rPr>
          <w:noProof/>
        </w:rPr>
        <w:drawing>
          <wp:inline distT="0" distB="0" distL="0" distR="0" wp14:anchorId="5F1AEAD1" wp14:editId="26AF2DC4">
            <wp:extent cx="4048125" cy="1666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8125" cy="1666875"/>
                    </a:xfrm>
                    <a:prstGeom prst="rect">
                      <a:avLst/>
                    </a:prstGeom>
                    <a:noFill/>
                    <a:ln>
                      <a:noFill/>
                    </a:ln>
                  </pic:spPr>
                </pic:pic>
              </a:graphicData>
            </a:graphic>
          </wp:inline>
        </w:drawing>
      </w: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D85BF4" w:rsidRPr="00E75BAA" w:rsidRDefault="00D85BF4" w:rsidP="00E75BAA">
      <w:pPr>
        <w:spacing w:after="0"/>
        <w:jc w:val="both"/>
        <w:rPr>
          <w:rFonts w:ascii="Bookman Old Style" w:eastAsia="Calibri" w:hAnsi="Bookman Old Style" w:cs="Calibri"/>
          <w:color w:val="000000"/>
        </w:rPr>
      </w:pPr>
    </w:p>
    <w:sectPr w:rsidR="00D85BF4" w:rsidRPr="00E75BAA" w:rsidSect="00A9267E">
      <w:footerReference w:type="default" r:id="rId17"/>
      <w:pgSz w:w="12240" w:h="15840"/>
      <w:pgMar w:top="99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5C" w:rsidRDefault="000A385C" w:rsidP="002D5ADD">
      <w:pPr>
        <w:spacing w:after="0" w:line="240" w:lineRule="auto"/>
      </w:pPr>
      <w:r>
        <w:separator/>
      </w:r>
    </w:p>
  </w:endnote>
  <w:endnote w:type="continuationSeparator" w:id="0">
    <w:p w:rsidR="000A385C" w:rsidRDefault="000A385C" w:rsidP="002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Sans Bold">
    <w:panose1 w:val="02000503040000020004"/>
    <w:charset w:val="00"/>
    <w:family w:val="modern"/>
    <w:notTrueType/>
    <w:pitch w:val="variable"/>
    <w:sig w:usb0="8000002F" w:usb1="5000004A" w:usb2="00000000" w:usb3="00000000" w:csb0="00000001" w:csb1="00000000"/>
  </w:font>
  <w:font w:name="BentonSans Book">
    <w:panose1 w:val="02000503040000020004"/>
    <w:charset w:val="00"/>
    <w:family w:val="modern"/>
    <w:notTrueType/>
    <w:pitch w:val="variable"/>
    <w:sig w:usb0="8000002F" w:usb1="5000004A" w:usb2="00000000" w:usb3="00000000" w:csb0="00000001" w:csb1="00000000"/>
  </w:font>
  <w:font w:name="BentonSans Black">
    <w:panose1 w:val="02000503040000020004"/>
    <w:charset w:val="00"/>
    <w:family w:val="modern"/>
    <w:notTrueType/>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18" w:rsidRDefault="00C11618" w:rsidP="00E35D50">
    <w:pPr>
      <w:pStyle w:val="Footer"/>
      <w:jc w:val="center"/>
    </w:pPr>
  </w:p>
  <w:p w:rsidR="00C11618" w:rsidRDefault="00C11618" w:rsidP="000E1A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8110"/>
      <w:docPartObj>
        <w:docPartGallery w:val="Page Numbers (Bottom of Page)"/>
        <w:docPartUnique/>
      </w:docPartObj>
    </w:sdtPr>
    <w:sdtEndPr>
      <w:rPr>
        <w:noProof/>
      </w:rPr>
    </w:sdtEndPr>
    <w:sdtContent>
      <w:p w:rsidR="00C11618" w:rsidRDefault="00C11618">
        <w:pPr>
          <w:pStyle w:val="Footer"/>
          <w:jc w:val="right"/>
          <w:rPr>
            <w:noProof/>
          </w:rPr>
        </w:pPr>
        <w:r w:rsidRPr="00F66B92">
          <w:rPr>
            <w:rFonts w:ascii="Bookman Old Style" w:hAnsi="Bookman Old Style"/>
            <w:b/>
            <w:bCs/>
            <w:noProof/>
            <w:color w:val="CC9900"/>
            <w:sz w:val="16"/>
            <w:szCs w:val="16"/>
          </w:rPr>
          <mc:AlternateContent>
            <mc:Choice Requires="wps">
              <w:drawing>
                <wp:anchor distT="0" distB="0" distL="114300" distR="114300" simplePos="0" relativeHeight="251659264" behindDoc="0" locked="0" layoutInCell="1" allowOverlap="1" wp14:anchorId="35418504" wp14:editId="2D98BDB3">
                  <wp:simplePos x="0" y="0"/>
                  <wp:positionH relativeFrom="margin">
                    <wp:align>right</wp:align>
                  </wp:positionH>
                  <wp:positionV relativeFrom="paragraph">
                    <wp:posOffset>234950</wp:posOffset>
                  </wp:positionV>
                  <wp:extent cx="48577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897D31" w:rsidRPr="00897D31">
                                <w:rPr>
                                  <w:rFonts w:ascii="Bookman Old Style" w:hAnsi="Bookman Old Style"/>
                                  <w:b/>
                                  <w:noProof/>
                                  <w:sz w:val="18"/>
                                  <w:szCs w:val="18"/>
                                </w:rPr>
                                <w:t>-</w:t>
                              </w:r>
                              <w:r w:rsidR="00897D31">
                                <w:rPr>
                                  <w:rFonts w:ascii="Bookman Old Style" w:hAnsi="Bookman Old Style"/>
                                  <w:b/>
                                  <w:noProof/>
                                  <w:sz w:val="20"/>
                                  <w:szCs w:val="20"/>
                                </w:rPr>
                                <w:t xml:space="preserve"> 8 -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8504" id="_x0000_t202" coordsize="21600,21600" o:spt="202" path="m,l,21600r21600,l21600,xe">
                  <v:stroke joinstyle="miter"/>
                  <v:path gradientshapeok="t" o:connecttype="rect"/>
                </v:shapetype>
                <v:shape id="Text Box 110" o:spid="_x0000_s1029" type="#_x0000_t202" style="position:absolute;left:0;text-align:left;margin-left:-12.95pt;margin-top:18.5pt;width:38.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" fillcolor="#ffc000" strokecolor="#ffc000" strokeweight=".5pt">
                  <v:textbo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897D31" w:rsidRPr="00897D31">
                          <w:rPr>
                            <w:rFonts w:ascii="Bookman Old Style" w:hAnsi="Bookman Old Style"/>
                            <w:b/>
                            <w:noProof/>
                            <w:sz w:val="18"/>
                            <w:szCs w:val="18"/>
                          </w:rPr>
                          <w:t>-</w:t>
                        </w:r>
                        <w:r w:rsidR="00897D31">
                          <w:rPr>
                            <w:rFonts w:ascii="Bookman Old Style" w:hAnsi="Bookman Old Style"/>
                            <w:b/>
                            <w:noProof/>
                            <w:sz w:val="20"/>
                            <w:szCs w:val="20"/>
                          </w:rPr>
                          <w:t xml:space="preserve"> 8 -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v:textbox>
                  <w10:wrap anchorx="margin"/>
                </v:shape>
              </w:pict>
            </mc:Fallback>
          </mc:AlternateContent>
        </w:r>
      </w:p>
      <w:tbl>
        <w:tblPr>
          <w:tblW w:w="8926" w:type="dxa"/>
          <w:tblInd w:w="-196" w:type="dxa"/>
          <w:tblBorders>
            <w:top w:val="double" w:sz="4" w:space="0" w:color="auto"/>
            <w:insideH w:val="single" w:sz="12" w:space="0" w:color="9BBB59"/>
            <w:insideV w:val="single" w:sz="2" w:space="0" w:color="9BBB59"/>
          </w:tblBorders>
          <w:shd w:val="clear" w:color="auto" w:fill="EAF1DD"/>
          <w:tblLook w:val="04A0" w:firstRow="1" w:lastRow="0" w:firstColumn="1" w:lastColumn="0" w:noHBand="0" w:noVBand="1"/>
        </w:tblPr>
        <w:tblGrid>
          <w:gridCol w:w="3346"/>
          <w:gridCol w:w="3330"/>
          <w:gridCol w:w="2250"/>
        </w:tblGrid>
        <w:tr w:rsidR="00C11618" w:rsidRPr="00F66B92" w:rsidTr="00384385">
          <w:trPr>
            <w:trHeight w:val="600"/>
          </w:trPr>
          <w:tc>
            <w:tcPr>
              <w:tcW w:w="3346" w:type="dxa"/>
              <w:shd w:val="clear" w:color="auto" w:fill="EAF1DD"/>
              <w:vAlign w:val="center"/>
            </w:tcPr>
            <w:p w:rsidR="00C11618" w:rsidRPr="005B2791" w:rsidRDefault="00C11618"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NATIONAL BANK OF RWANDA</w:t>
              </w:r>
            </w:p>
          </w:tc>
          <w:tc>
            <w:tcPr>
              <w:tcW w:w="3330" w:type="dxa"/>
              <w:shd w:val="clear" w:color="auto" w:fill="EAF1DD"/>
              <w:vAlign w:val="center"/>
            </w:tcPr>
            <w:p w:rsidR="00C11618" w:rsidRPr="005B2791" w:rsidRDefault="00384385"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CREDIT SURVEY REPORT</w:t>
              </w:r>
            </w:p>
          </w:tc>
          <w:tc>
            <w:tcPr>
              <w:tcW w:w="2250" w:type="dxa"/>
              <w:shd w:val="clear" w:color="auto" w:fill="EAF1DD"/>
              <w:vAlign w:val="center"/>
            </w:tcPr>
            <w:p w:rsidR="00C11618" w:rsidRPr="005B2791" w:rsidRDefault="00384385" w:rsidP="00F66B92">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 xml:space="preserve">SEPTEMBER </w:t>
              </w:r>
              <w:r w:rsidR="005B2791">
                <w:rPr>
                  <w:rFonts w:ascii="BentonSans Bold" w:hAnsi="BentonSans Bold"/>
                  <w:b/>
                  <w:bCs/>
                  <w:color w:val="1F3864" w:themeColor="accent1" w:themeShade="80"/>
                  <w:sz w:val="20"/>
                  <w:szCs w:val="20"/>
                </w:rPr>
                <w:t xml:space="preserve"> 2019</w:t>
              </w:r>
            </w:p>
          </w:tc>
        </w:tr>
      </w:tbl>
      <w:p w:rsidR="00C11618" w:rsidRDefault="000A385C">
        <w:pPr>
          <w:pStyle w:val="Footer"/>
          <w:jc w:val="right"/>
        </w:pPr>
      </w:p>
    </w:sdtContent>
  </w:sdt>
  <w:p w:rsidR="00C11618" w:rsidRDefault="00C11618" w:rsidP="000E1A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5C" w:rsidRDefault="000A385C" w:rsidP="002D5ADD">
      <w:pPr>
        <w:spacing w:after="0" w:line="240" w:lineRule="auto"/>
      </w:pPr>
      <w:r>
        <w:separator/>
      </w:r>
    </w:p>
  </w:footnote>
  <w:footnote w:type="continuationSeparator" w:id="0">
    <w:p w:rsidR="000A385C" w:rsidRDefault="000A385C" w:rsidP="002D5ADD">
      <w:pPr>
        <w:spacing w:after="0" w:line="240" w:lineRule="auto"/>
      </w:pPr>
      <w:r>
        <w:continuationSeparator/>
      </w:r>
    </w:p>
  </w:footnote>
  <w:footnote w:id="1">
    <w:p w:rsidR="009B54F3" w:rsidRPr="00B60757" w:rsidRDefault="009B54F3" w:rsidP="009B54F3">
      <w:pPr>
        <w:pStyle w:val="FootnoteText"/>
        <w:jc w:val="both"/>
        <w:rPr>
          <w:rFonts w:ascii="BentonSans Book" w:hAnsi="BentonSans Book"/>
          <w:sz w:val="24"/>
        </w:rPr>
      </w:pPr>
      <w:r>
        <w:rPr>
          <w:rStyle w:val="FootnoteReference"/>
        </w:rPr>
        <w:footnoteRef/>
      </w:r>
      <w:r>
        <w:t xml:space="preserve"> </w:t>
      </w:r>
      <w:r w:rsidRPr="00B60757">
        <w:rPr>
          <w:rStyle w:val="st"/>
          <w:rFonts w:ascii="BentonSans Book" w:hAnsi="BentonSans Book"/>
          <w:szCs w:val="16"/>
        </w:rPr>
        <w:t>The loan rejection rate is the ratio of the value or number of rejected loan applications by all banks to the number of loan applications received by the banks during the same period.</w:t>
      </w:r>
    </w:p>
    <w:p w:rsidR="009B54F3" w:rsidRPr="00B60757" w:rsidRDefault="009B54F3" w:rsidP="009B54F3">
      <w:pPr>
        <w:pStyle w:val="FootnoteText"/>
        <w:rPr>
          <w:rFonts w:ascii="BentonSans Book" w:hAnsi="BentonSans Book"/>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BEA410AA"/>
    <w:lvl w:ilvl="0" w:tplc="CFAA251A">
      <w:start w:val="1"/>
      <w:numFmt w:val="decimal"/>
      <w:pStyle w:val="FSAparagraph"/>
      <w:lvlText w:val="%1.     "/>
      <w:lvlJc w:val="left"/>
      <w:pPr>
        <w:tabs>
          <w:tab w:val="num" w:pos="720"/>
        </w:tabs>
        <w:ind w:left="0" w:firstLine="0"/>
      </w:pPr>
      <w:rPr>
        <w:rFonts w:hint="default"/>
        <w:b w:val="0"/>
        <w:color w:val="auto"/>
        <w:sz w:val="24"/>
        <w:szCs w:val="24"/>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869DF"/>
    <w:multiLevelType w:val="hybridMultilevel"/>
    <w:tmpl w:val="1A48BFA6"/>
    <w:lvl w:ilvl="0" w:tplc="DEA02CA0">
      <w:start w:val="1"/>
      <w:numFmt w:val="upperRoman"/>
      <w:pStyle w:val="FSA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F20"/>
    <w:multiLevelType w:val="hybridMultilevel"/>
    <w:tmpl w:val="D8CEEBE0"/>
    <w:lvl w:ilvl="0" w:tplc="9B241F6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770"/>
    <w:multiLevelType w:val="hybridMultilevel"/>
    <w:tmpl w:val="360CFABC"/>
    <w:lvl w:ilvl="0" w:tplc="6366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E7A2E"/>
    <w:multiLevelType w:val="hybridMultilevel"/>
    <w:tmpl w:val="6DB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1390"/>
    <w:multiLevelType w:val="hybridMultilevel"/>
    <w:tmpl w:val="45C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15F38"/>
    <w:multiLevelType w:val="multilevel"/>
    <w:tmpl w:val="805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0FB0"/>
    <w:multiLevelType w:val="multilevel"/>
    <w:tmpl w:val="32ECEBB6"/>
    <w:lvl w:ilvl="0">
      <w:start w:val="1"/>
      <w:numFmt w:val="upperRoman"/>
      <w:lvlText w:val="%1."/>
      <w:lvlJc w:val="left"/>
      <w:pPr>
        <w:ind w:left="1080" w:hanging="720"/>
      </w:pPr>
      <w:rPr>
        <w:rFonts w:hint="default"/>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54671"/>
    <w:multiLevelType w:val="hybridMultilevel"/>
    <w:tmpl w:val="2C38EDBE"/>
    <w:lvl w:ilvl="0" w:tplc="35AC80DA">
      <w:start w:val="1"/>
      <w:numFmt w:val="bullet"/>
      <w:lvlText w:val="•"/>
      <w:lvlJc w:val="left"/>
      <w:pPr>
        <w:tabs>
          <w:tab w:val="num" w:pos="720"/>
        </w:tabs>
        <w:ind w:left="720" w:hanging="360"/>
      </w:pPr>
      <w:rPr>
        <w:rFonts w:ascii="Arial" w:hAnsi="Arial" w:hint="default"/>
      </w:rPr>
    </w:lvl>
    <w:lvl w:ilvl="1" w:tplc="A01E1882" w:tentative="1">
      <w:start w:val="1"/>
      <w:numFmt w:val="bullet"/>
      <w:lvlText w:val="•"/>
      <w:lvlJc w:val="left"/>
      <w:pPr>
        <w:tabs>
          <w:tab w:val="num" w:pos="1440"/>
        </w:tabs>
        <w:ind w:left="1440" w:hanging="360"/>
      </w:pPr>
      <w:rPr>
        <w:rFonts w:ascii="Arial" w:hAnsi="Arial" w:hint="default"/>
      </w:rPr>
    </w:lvl>
    <w:lvl w:ilvl="2" w:tplc="8EFCC498" w:tentative="1">
      <w:start w:val="1"/>
      <w:numFmt w:val="bullet"/>
      <w:lvlText w:val="•"/>
      <w:lvlJc w:val="left"/>
      <w:pPr>
        <w:tabs>
          <w:tab w:val="num" w:pos="2160"/>
        </w:tabs>
        <w:ind w:left="2160" w:hanging="360"/>
      </w:pPr>
      <w:rPr>
        <w:rFonts w:ascii="Arial" w:hAnsi="Arial" w:hint="default"/>
      </w:rPr>
    </w:lvl>
    <w:lvl w:ilvl="3" w:tplc="7DFCA166" w:tentative="1">
      <w:start w:val="1"/>
      <w:numFmt w:val="bullet"/>
      <w:lvlText w:val="•"/>
      <w:lvlJc w:val="left"/>
      <w:pPr>
        <w:tabs>
          <w:tab w:val="num" w:pos="2880"/>
        </w:tabs>
        <w:ind w:left="2880" w:hanging="360"/>
      </w:pPr>
      <w:rPr>
        <w:rFonts w:ascii="Arial" w:hAnsi="Arial" w:hint="default"/>
      </w:rPr>
    </w:lvl>
    <w:lvl w:ilvl="4" w:tplc="2CCE6354" w:tentative="1">
      <w:start w:val="1"/>
      <w:numFmt w:val="bullet"/>
      <w:lvlText w:val="•"/>
      <w:lvlJc w:val="left"/>
      <w:pPr>
        <w:tabs>
          <w:tab w:val="num" w:pos="3600"/>
        </w:tabs>
        <w:ind w:left="3600" w:hanging="360"/>
      </w:pPr>
      <w:rPr>
        <w:rFonts w:ascii="Arial" w:hAnsi="Arial" w:hint="default"/>
      </w:rPr>
    </w:lvl>
    <w:lvl w:ilvl="5" w:tplc="2C120498" w:tentative="1">
      <w:start w:val="1"/>
      <w:numFmt w:val="bullet"/>
      <w:lvlText w:val="•"/>
      <w:lvlJc w:val="left"/>
      <w:pPr>
        <w:tabs>
          <w:tab w:val="num" w:pos="4320"/>
        </w:tabs>
        <w:ind w:left="4320" w:hanging="360"/>
      </w:pPr>
      <w:rPr>
        <w:rFonts w:ascii="Arial" w:hAnsi="Arial" w:hint="default"/>
      </w:rPr>
    </w:lvl>
    <w:lvl w:ilvl="6" w:tplc="94BC5F92" w:tentative="1">
      <w:start w:val="1"/>
      <w:numFmt w:val="bullet"/>
      <w:lvlText w:val="•"/>
      <w:lvlJc w:val="left"/>
      <w:pPr>
        <w:tabs>
          <w:tab w:val="num" w:pos="5040"/>
        </w:tabs>
        <w:ind w:left="5040" w:hanging="360"/>
      </w:pPr>
      <w:rPr>
        <w:rFonts w:ascii="Arial" w:hAnsi="Arial" w:hint="default"/>
      </w:rPr>
    </w:lvl>
    <w:lvl w:ilvl="7" w:tplc="FB2C7E70" w:tentative="1">
      <w:start w:val="1"/>
      <w:numFmt w:val="bullet"/>
      <w:lvlText w:val="•"/>
      <w:lvlJc w:val="left"/>
      <w:pPr>
        <w:tabs>
          <w:tab w:val="num" w:pos="5760"/>
        </w:tabs>
        <w:ind w:left="5760" w:hanging="360"/>
      </w:pPr>
      <w:rPr>
        <w:rFonts w:ascii="Arial" w:hAnsi="Arial" w:hint="default"/>
      </w:rPr>
    </w:lvl>
    <w:lvl w:ilvl="8" w:tplc="188033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27B88"/>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42D1A"/>
    <w:multiLevelType w:val="multilevel"/>
    <w:tmpl w:val="F5DC9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86729B"/>
    <w:multiLevelType w:val="hybridMultilevel"/>
    <w:tmpl w:val="DB282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C65A3"/>
    <w:multiLevelType w:val="hybridMultilevel"/>
    <w:tmpl w:val="6B1EFA46"/>
    <w:lvl w:ilvl="0" w:tplc="6F0C7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01EE5"/>
    <w:multiLevelType w:val="hybridMultilevel"/>
    <w:tmpl w:val="53F2E1A6"/>
    <w:lvl w:ilvl="0" w:tplc="A5CCF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4"/>
  </w:num>
  <w:num w:numId="6">
    <w:abstractNumId w:val="11"/>
  </w:num>
  <w:num w:numId="7">
    <w:abstractNumId w:val="5"/>
  </w:num>
  <w:num w:numId="8">
    <w:abstractNumId w:val="3"/>
  </w:num>
  <w:num w:numId="9">
    <w:abstractNumId w:val="1"/>
  </w:num>
  <w:num w:numId="10">
    <w:abstractNumId w:val="10"/>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01384"/>
    <w:rsid w:val="000020E9"/>
    <w:rsid w:val="00002747"/>
    <w:rsid w:val="00004E82"/>
    <w:rsid w:val="00005690"/>
    <w:rsid w:val="000070CF"/>
    <w:rsid w:val="00010BBB"/>
    <w:rsid w:val="00011682"/>
    <w:rsid w:val="0001183B"/>
    <w:rsid w:val="00012BFA"/>
    <w:rsid w:val="00012CE2"/>
    <w:rsid w:val="00014AAB"/>
    <w:rsid w:val="00015346"/>
    <w:rsid w:val="000155FD"/>
    <w:rsid w:val="000161AE"/>
    <w:rsid w:val="0001685E"/>
    <w:rsid w:val="00021DB1"/>
    <w:rsid w:val="00026576"/>
    <w:rsid w:val="00026F42"/>
    <w:rsid w:val="00030156"/>
    <w:rsid w:val="00030BD8"/>
    <w:rsid w:val="00031DC1"/>
    <w:rsid w:val="000331CD"/>
    <w:rsid w:val="00035891"/>
    <w:rsid w:val="00036FA9"/>
    <w:rsid w:val="00041342"/>
    <w:rsid w:val="00043DA6"/>
    <w:rsid w:val="000442A7"/>
    <w:rsid w:val="00051965"/>
    <w:rsid w:val="00051CB0"/>
    <w:rsid w:val="00052464"/>
    <w:rsid w:val="00052C42"/>
    <w:rsid w:val="00056158"/>
    <w:rsid w:val="0006021C"/>
    <w:rsid w:val="00060BE2"/>
    <w:rsid w:val="00064D1B"/>
    <w:rsid w:val="000650A2"/>
    <w:rsid w:val="000665D5"/>
    <w:rsid w:val="00066865"/>
    <w:rsid w:val="00070A3E"/>
    <w:rsid w:val="00070EB5"/>
    <w:rsid w:val="0007212C"/>
    <w:rsid w:val="00074A19"/>
    <w:rsid w:val="000752B8"/>
    <w:rsid w:val="000808EA"/>
    <w:rsid w:val="00082451"/>
    <w:rsid w:val="00083590"/>
    <w:rsid w:val="0008507D"/>
    <w:rsid w:val="00085DC0"/>
    <w:rsid w:val="00086A13"/>
    <w:rsid w:val="000955A0"/>
    <w:rsid w:val="00097675"/>
    <w:rsid w:val="00097D6E"/>
    <w:rsid w:val="000A385C"/>
    <w:rsid w:val="000A41E9"/>
    <w:rsid w:val="000A4253"/>
    <w:rsid w:val="000B0AC1"/>
    <w:rsid w:val="000B2B7B"/>
    <w:rsid w:val="000B33B1"/>
    <w:rsid w:val="000B40CB"/>
    <w:rsid w:val="000C038A"/>
    <w:rsid w:val="000C51A6"/>
    <w:rsid w:val="000C6553"/>
    <w:rsid w:val="000C7754"/>
    <w:rsid w:val="000D2A89"/>
    <w:rsid w:val="000D34AD"/>
    <w:rsid w:val="000D3C93"/>
    <w:rsid w:val="000D56CA"/>
    <w:rsid w:val="000D7992"/>
    <w:rsid w:val="000D7C29"/>
    <w:rsid w:val="000E03E6"/>
    <w:rsid w:val="000E1657"/>
    <w:rsid w:val="000E1A39"/>
    <w:rsid w:val="000E263D"/>
    <w:rsid w:val="000E29FD"/>
    <w:rsid w:val="000E5297"/>
    <w:rsid w:val="000E5A08"/>
    <w:rsid w:val="000E6E62"/>
    <w:rsid w:val="000F03AD"/>
    <w:rsid w:val="000F2D8C"/>
    <w:rsid w:val="000F49F0"/>
    <w:rsid w:val="000F4F5C"/>
    <w:rsid w:val="000F5B2F"/>
    <w:rsid w:val="000F6636"/>
    <w:rsid w:val="000F68A7"/>
    <w:rsid w:val="000F7BA4"/>
    <w:rsid w:val="00101361"/>
    <w:rsid w:val="00101A71"/>
    <w:rsid w:val="001023F8"/>
    <w:rsid w:val="0010289E"/>
    <w:rsid w:val="0010520C"/>
    <w:rsid w:val="001058F8"/>
    <w:rsid w:val="00105E6C"/>
    <w:rsid w:val="00106F91"/>
    <w:rsid w:val="00107327"/>
    <w:rsid w:val="00107AF8"/>
    <w:rsid w:val="001101A2"/>
    <w:rsid w:val="00111325"/>
    <w:rsid w:val="00112400"/>
    <w:rsid w:val="00114DC3"/>
    <w:rsid w:val="00115B52"/>
    <w:rsid w:val="00123AC7"/>
    <w:rsid w:val="00126A14"/>
    <w:rsid w:val="001272D2"/>
    <w:rsid w:val="00131D91"/>
    <w:rsid w:val="001329B3"/>
    <w:rsid w:val="00134375"/>
    <w:rsid w:val="00134547"/>
    <w:rsid w:val="0014039C"/>
    <w:rsid w:val="00141D05"/>
    <w:rsid w:val="00145DCA"/>
    <w:rsid w:val="001478EA"/>
    <w:rsid w:val="0015054C"/>
    <w:rsid w:val="00154901"/>
    <w:rsid w:val="00164C37"/>
    <w:rsid w:val="00165153"/>
    <w:rsid w:val="0017075E"/>
    <w:rsid w:val="001717B6"/>
    <w:rsid w:val="001727D6"/>
    <w:rsid w:val="00175F21"/>
    <w:rsid w:val="00176AB7"/>
    <w:rsid w:val="00176F82"/>
    <w:rsid w:val="00177FCA"/>
    <w:rsid w:val="001806B4"/>
    <w:rsid w:val="00182442"/>
    <w:rsid w:val="00185259"/>
    <w:rsid w:val="00185353"/>
    <w:rsid w:val="0019064D"/>
    <w:rsid w:val="0019147A"/>
    <w:rsid w:val="0019196E"/>
    <w:rsid w:val="00192827"/>
    <w:rsid w:val="00193390"/>
    <w:rsid w:val="001941D4"/>
    <w:rsid w:val="00196E42"/>
    <w:rsid w:val="001A2A0F"/>
    <w:rsid w:val="001A3096"/>
    <w:rsid w:val="001A42B2"/>
    <w:rsid w:val="001A5FA7"/>
    <w:rsid w:val="001A76D6"/>
    <w:rsid w:val="001B0BC7"/>
    <w:rsid w:val="001B1E59"/>
    <w:rsid w:val="001B21E5"/>
    <w:rsid w:val="001B5123"/>
    <w:rsid w:val="001B59F0"/>
    <w:rsid w:val="001B63F3"/>
    <w:rsid w:val="001B7A1A"/>
    <w:rsid w:val="001C043E"/>
    <w:rsid w:val="001C0633"/>
    <w:rsid w:val="001C0F90"/>
    <w:rsid w:val="001C381E"/>
    <w:rsid w:val="001C4946"/>
    <w:rsid w:val="001C5193"/>
    <w:rsid w:val="001C7CF9"/>
    <w:rsid w:val="001D00E3"/>
    <w:rsid w:val="001D0D23"/>
    <w:rsid w:val="001D193A"/>
    <w:rsid w:val="001D1D23"/>
    <w:rsid w:val="001D3E98"/>
    <w:rsid w:val="001D582A"/>
    <w:rsid w:val="001D6ED2"/>
    <w:rsid w:val="001D79BC"/>
    <w:rsid w:val="001E062A"/>
    <w:rsid w:val="001E0E8C"/>
    <w:rsid w:val="001E39FA"/>
    <w:rsid w:val="001E5BEC"/>
    <w:rsid w:val="001E600A"/>
    <w:rsid w:val="001E7F67"/>
    <w:rsid w:val="001F1D7E"/>
    <w:rsid w:val="001F7734"/>
    <w:rsid w:val="00200924"/>
    <w:rsid w:val="002010A0"/>
    <w:rsid w:val="002040A6"/>
    <w:rsid w:val="00204704"/>
    <w:rsid w:val="00210B39"/>
    <w:rsid w:val="002118D1"/>
    <w:rsid w:val="00211BF9"/>
    <w:rsid w:val="00214677"/>
    <w:rsid w:val="0021677F"/>
    <w:rsid w:val="002231EC"/>
    <w:rsid w:val="00223617"/>
    <w:rsid w:val="0022445D"/>
    <w:rsid w:val="00226709"/>
    <w:rsid w:val="00226ABF"/>
    <w:rsid w:val="00227D61"/>
    <w:rsid w:val="00230635"/>
    <w:rsid w:val="00230B49"/>
    <w:rsid w:val="0023142B"/>
    <w:rsid w:val="00236528"/>
    <w:rsid w:val="002405B7"/>
    <w:rsid w:val="002406B3"/>
    <w:rsid w:val="0024323A"/>
    <w:rsid w:val="00244BB1"/>
    <w:rsid w:val="00245698"/>
    <w:rsid w:val="0024608F"/>
    <w:rsid w:val="00246226"/>
    <w:rsid w:val="00247FB3"/>
    <w:rsid w:val="00250A86"/>
    <w:rsid w:val="002517CB"/>
    <w:rsid w:val="00253744"/>
    <w:rsid w:val="00253E36"/>
    <w:rsid w:val="002541B5"/>
    <w:rsid w:val="00254CED"/>
    <w:rsid w:val="00256393"/>
    <w:rsid w:val="00263091"/>
    <w:rsid w:val="00265AA7"/>
    <w:rsid w:val="0026692F"/>
    <w:rsid w:val="00266A16"/>
    <w:rsid w:val="00267289"/>
    <w:rsid w:val="002676EC"/>
    <w:rsid w:val="00271374"/>
    <w:rsid w:val="00271DE9"/>
    <w:rsid w:val="002801B6"/>
    <w:rsid w:val="0028296B"/>
    <w:rsid w:val="00283B43"/>
    <w:rsid w:val="0028656B"/>
    <w:rsid w:val="00291CD0"/>
    <w:rsid w:val="00291E5C"/>
    <w:rsid w:val="002920DB"/>
    <w:rsid w:val="0029245B"/>
    <w:rsid w:val="002954D6"/>
    <w:rsid w:val="00296869"/>
    <w:rsid w:val="002A2ADB"/>
    <w:rsid w:val="002A2EE5"/>
    <w:rsid w:val="002A4D67"/>
    <w:rsid w:val="002A547A"/>
    <w:rsid w:val="002A6038"/>
    <w:rsid w:val="002A74EC"/>
    <w:rsid w:val="002A75FC"/>
    <w:rsid w:val="002A7796"/>
    <w:rsid w:val="002B212E"/>
    <w:rsid w:val="002B4B96"/>
    <w:rsid w:val="002B4EFD"/>
    <w:rsid w:val="002C0EE9"/>
    <w:rsid w:val="002C31F0"/>
    <w:rsid w:val="002C3ECE"/>
    <w:rsid w:val="002C3FEF"/>
    <w:rsid w:val="002C5A0A"/>
    <w:rsid w:val="002C751E"/>
    <w:rsid w:val="002C7966"/>
    <w:rsid w:val="002C7CCD"/>
    <w:rsid w:val="002D1550"/>
    <w:rsid w:val="002D287F"/>
    <w:rsid w:val="002D34E5"/>
    <w:rsid w:val="002D37BA"/>
    <w:rsid w:val="002D5ADD"/>
    <w:rsid w:val="002D7442"/>
    <w:rsid w:val="002D79A9"/>
    <w:rsid w:val="002E09D1"/>
    <w:rsid w:val="002F1681"/>
    <w:rsid w:val="002F281D"/>
    <w:rsid w:val="002F2973"/>
    <w:rsid w:val="002F42EE"/>
    <w:rsid w:val="002F46A5"/>
    <w:rsid w:val="002F4A60"/>
    <w:rsid w:val="002F5000"/>
    <w:rsid w:val="002F7F9B"/>
    <w:rsid w:val="003008BA"/>
    <w:rsid w:val="0030146E"/>
    <w:rsid w:val="00305F3A"/>
    <w:rsid w:val="00306313"/>
    <w:rsid w:val="003161B4"/>
    <w:rsid w:val="00317235"/>
    <w:rsid w:val="00320C2D"/>
    <w:rsid w:val="00323210"/>
    <w:rsid w:val="003233B1"/>
    <w:rsid w:val="00325D53"/>
    <w:rsid w:val="00325DB6"/>
    <w:rsid w:val="00327AFA"/>
    <w:rsid w:val="003368BC"/>
    <w:rsid w:val="00337073"/>
    <w:rsid w:val="003374C1"/>
    <w:rsid w:val="00340C25"/>
    <w:rsid w:val="00341202"/>
    <w:rsid w:val="003417BC"/>
    <w:rsid w:val="00344330"/>
    <w:rsid w:val="00344341"/>
    <w:rsid w:val="003525B2"/>
    <w:rsid w:val="00353BF3"/>
    <w:rsid w:val="00355C8F"/>
    <w:rsid w:val="00356140"/>
    <w:rsid w:val="003564BA"/>
    <w:rsid w:val="00356865"/>
    <w:rsid w:val="00357EB0"/>
    <w:rsid w:val="0036094C"/>
    <w:rsid w:val="003612F3"/>
    <w:rsid w:val="00366D65"/>
    <w:rsid w:val="00373B8F"/>
    <w:rsid w:val="003740EA"/>
    <w:rsid w:val="00376045"/>
    <w:rsid w:val="003770EC"/>
    <w:rsid w:val="00377562"/>
    <w:rsid w:val="00377C74"/>
    <w:rsid w:val="00380F12"/>
    <w:rsid w:val="00384385"/>
    <w:rsid w:val="003844E9"/>
    <w:rsid w:val="00384949"/>
    <w:rsid w:val="00386CD0"/>
    <w:rsid w:val="00387B36"/>
    <w:rsid w:val="0039101E"/>
    <w:rsid w:val="00393213"/>
    <w:rsid w:val="00394228"/>
    <w:rsid w:val="003942AB"/>
    <w:rsid w:val="00394D79"/>
    <w:rsid w:val="00396866"/>
    <w:rsid w:val="003973D7"/>
    <w:rsid w:val="003A0892"/>
    <w:rsid w:val="003A1455"/>
    <w:rsid w:val="003A1D3A"/>
    <w:rsid w:val="003A7DB7"/>
    <w:rsid w:val="003B0096"/>
    <w:rsid w:val="003B0364"/>
    <w:rsid w:val="003B08C7"/>
    <w:rsid w:val="003B0B4F"/>
    <w:rsid w:val="003B3C99"/>
    <w:rsid w:val="003B5337"/>
    <w:rsid w:val="003C031E"/>
    <w:rsid w:val="003C0965"/>
    <w:rsid w:val="003C34B3"/>
    <w:rsid w:val="003C34D8"/>
    <w:rsid w:val="003C5155"/>
    <w:rsid w:val="003C603B"/>
    <w:rsid w:val="003C6065"/>
    <w:rsid w:val="003C6FAF"/>
    <w:rsid w:val="003D1008"/>
    <w:rsid w:val="003D13F4"/>
    <w:rsid w:val="003D25D0"/>
    <w:rsid w:val="003D2E01"/>
    <w:rsid w:val="003D3792"/>
    <w:rsid w:val="003D5624"/>
    <w:rsid w:val="003D6197"/>
    <w:rsid w:val="003D729E"/>
    <w:rsid w:val="003E11FF"/>
    <w:rsid w:val="003E2A6C"/>
    <w:rsid w:val="003E6374"/>
    <w:rsid w:val="003F056C"/>
    <w:rsid w:val="003F2B56"/>
    <w:rsid w:val="003F33BF"/>
    <w:rsid w:val="003F3864"/>
    <w:rsid w:val="003F50FB"/>
    <w:rsid w:val="003F69DC"/>
    <w:rsid w:val="00400F15"/>
    <w:rsid w:val="004012A1"/>
    <w:rsid w:val="004016C4"/>
    <w:rsid w:val="004020E9"/>
    <w:rsid w:val="004044A7"/>
    <w:rsid w:val="00404995"/>
    <w:rsid w:val="004059D7"/>
    <w:rsid w:val="00406287"/>
    <w:rsid w:val="0040763B"/>
    <w:rsid w:val="00407D41"/>
    <w:rsid w:val="00410375"/>
    <w:rsid w:val="004146CA"/>
    <w:rsid w:val="004148FC"/>
    <w:rsid w:val="004203B7"/>
    <w:rsid w:val="00421952"/>
    <w:rsid w:val="00424AB8"/>
    <w:rsid w:val="00430F5E"/>
    <w:rsid w:val="004314F0"/>
    <w:rsid w:val="0043323D"/>
    <w:rsid w:val="00434C8E"/>
    <w:rsid w:val="00437EA8"/>
    <w:rsid w:val="00442045"/>
    <w:rsid w:val="00442EFF"/>
    <w:rsid w:val="00443069"/>
    <w:rsid w:val="00444578"/>
    <w:rsid w:val="004453DE"/>
    <w:rsid w:val="00450E69"/>
    <w:rsid w:val="0045106A"/>
    <w:rsid w:val="00454A90"/>
    <w:rsid w:val="00456780"/>
    <w:rsid w:val="0045763A"/>
    <w:rsid w:val="00462C46"/>
    <w:rsid w:val="004632D0"/>
    <w:rsid w:val="00464890"/>
    <w:rsid w:val="00467ECC"/>
    <w:rsid w:val="0047154F"/>
    <w:rsid w:val="00474471"/>
    <w:rsid w:val="00474BE7"/>
    <w:rsid w:val="00474F7C"/>
    <w:rsid w:val="00475112"/>
    <w:rsid w:val="00482B93"/>
    <w:rsid w:val="0048354E"/>
    <w:rsid w:val="00492A98"/>
    <w:rsid w:val="0049415A"/>
    <w:rsid w:val="0049743F"/>
    <w:rsid w:val="00497988"/>
    <w:rsid w:val="004A07F9"/>
    <w:rsid w:val="004A3305"/>
    <w:rsid w:val="004A3B3A"/>
    <w:rsid w:val="004A58A8"/>
    <w:rsid w:val="004A5B26"/>
    <w:rsid w:val="004A7AB3"/>
    <w:rsid w:val="004B2CF1"/>
    <w:rsid w:val="004B4661"/>
    <w:rsid w:val="004B5844"/>
    <w:rsid w:val="004B5A6E"/>
    <w:rsid w:val="004B5D8E"/>
    <w:rsid w:val="004B64CA"/>
    <w:rsid w:val="004B69DA"/>
    <w:rsid w:val="004C06E1"/>
    <w:rsid w:val="004C2882"/>
    <w:rsid w:val="004C2A32"/>
    <w:rsid w:val="004C32E4"/>
    <w:rsid w:val="004C33F4"/>
    <w:rsid w:val="004C3512"/>
    <w:rsid w:val="004C36FE"/>
    <w:rsid w:val="004C3B3A"/>
    <w:rsid w:val="004C4FB2"/>
    <w:rsid w:val="004C53E0"/>
    <w:rsid w:val="004C79A9"/>
    <w:rsid w:val="004D09FE"/>
    <w:rsid w:val="004D0B11"/>
    <w:rsid w:val="004D11B1"/>
    <w:rsid w:val="004D1EBE"/>
    <w:rsid w:val="004D258E"/>
    <w:rsid w:val="004D4738"/>
    <w:rsid w:val="004D6C01"/>
    <w:rsid w:val="004D6FB4"/>
    <w:rsid w:val="004E15F4"/>
    <w:rsid w:val="004F1800"/>
    <w:rsid w:val="004F1C42"/>
    <w:rsid w:val="004F288E"/>
    <w:rsid w:val="004F3F57"/>
    <w:rsid w:val="004F57D0"/>
    <w:rsid w:val="004F586D"/>
    <w:rsid w:val="0050024B"/>
    <w:rsid w:val="00501272"/>
    <w:rsid w:val="005027CE"/>
    <w:rsid w:val="00506C5B"/>
    <w:rsid w:val="005101E2"/>
    <w:rsid w:val="0051046B"/>
    <w:rsid w:val="005113BE"/>
    <w:rsid w:val="005137DE"/>
    <w:rsid w:val="0051394B"/>
    <w:rsid w:val="00514A5B"/>
    <w:rsid w:val="00520E18"/>
    <w:rsid w:val="005235A8"/>
    <w:rsid w:val="0052469D"/>
    <w:rsid w:val="005265CC"/>
    <w:rsid w:val="005276C3"/>
    <w:rsid w:val="005330BD"/>
    <w:rsid w:val="0053659C"/>
    <w:rsid w:val="00536B5F"/>
    <w:rsid w:val="00536EE0"/>
    <w:rsid w:val="00536FB0"/>
    <w:rsid w:val="00537F86"/>
    <w:rsid w:val="00545D7C"/>
    <w:rsid w:val="00553376"/>
    <w:rsid w:val="005537C3"/>
    <w:rsid w:val="00553B5B"/>
    <w:rsid w:val="00555121"/>
    <w:rsid w:val="0055771A"/>
    <w:rsid w:val="005577B2"/>
    <w:rsid w:val="00560A8F"/>
    <w:rsid w:val="00562D9B"/>
    <w:rsid w:val="00562E9F"/>
    <w:rsid w:val="00563C78"/>
    <w:rsid w:val="005640AF"/>
    <w:rsid w:val="0056617F"/>
    <w:rsid w:val="00566E92"/>
    <w:rsid w:val="005727FB"/>
    <w:rsid w:val="005734CA"/>
    <w:rsid w:val="00576AED"/>
    <w:rsid w:val="00577506"/>
    <w:rsid w:val="00582EE2"/>
    <w:rsid w:val="00583F7F"/>
    <w:rsid w:val="00584EEE"/>
    <w:rsid w:val="0059013B"/>
    <w:rsid w:val="00590549"/>
    <w:rsid w:val="00590A0B"/>
    <w:rsid w:val="00594350"/>
    <w:rsid w:val="005944FB"/>
    <w:rsid w:val="00594C7C"/>
    <w:rsid w:val="00595945"/>
    <w:rsid w:val="00595BB7"/>
    <w:rsid w:val="00596939"/>
    <w:rsid w:val="005971E0"/>
    <w:rsid w:val="005A369F"/>
    <w:rsid w:val="005A48C3"/>
    <w:rsid w:val="005A5466"/>
    <w:rsid w:val="005A562B"/>
    <w:rsid w:val="005A6CA1"/>
    <w:rsid w:val="005B1B03"/>
    <w:rsid w:val="005B2791"/>
    <w:rsid w:val="005B4AA7"/>
    <w:rsid w:val="005B5F7D"/>
    <w:rsid w:val="005B6BB5"/>
    <w:rsid w:val="005B709E"/>
    <w:rsid w:val="005C1B24"/>
    <w:rsid w:val="005C23E4"/>
    <w:rsid w:val="005C294A"/>
    <w:rsid w:val="005C416F"/>
    <w:rsid w:val="005C4375"/>
    <w:rsid w:val="005C5A31"/>
    <w:rsid w:val="005C68E9"/>
    <w:rsid w:val="005C7053"/>
    <w:rsid w:val="005D0DEA"/>
    <w:rsid w:val="005D2961"/>
    <w:rsid w:val="005D2C04"/>
    <w:rsid w:val="005D2DB5"/>
    <w:rsid w:val="005D334B"/>
    <w:rsid w:val="005D366B"/>
    <w:rsid w:val="005D79FC"/>
    <w:rsid w:val="005D7D07"/>
    <w:rsid w:val="005E02BE"/>
    <w:rsid w:val="005E06FE"/>
    <w:rsid w:val="005E340D"/>
    <w:rsid w:val="005E3696"/>
    <w:rsid w:val="005E3906"/>
    <w:rsid w:val="005E39B6"/>
    <w:rsid w:val="005E4B02"/>
    <w:rsid w:val="005F03B8"/>
    <w:rsid w:val="005F0F3F"/>
    <w:rsid w:val="005F34C4"/>
    <w:rsid w:val="005F3703"/>
    <w:rsid w:val="005F3AC3"/>
    <w:rsid w:val="005F498A"/>
    <w:rsid w:val="005F635B"/>
    <w:rsid w:val="005F78FC"/>
    <w:rsid w:val="005F7F99"/>
    <w:rsid w:val="006013AE"/>
    <w:rsid w:val="00604444"/>
    <w:rsid w:val="00604C74"/>
    <w:rsid w:val="006101F6"/>
    <w:rsid w:val="0061195D"/>
    <w:rsid w:val="006120B2"/>
    <w:rsid w:val="00612EDB"/>
    <w:rsid w:val="00613836"/>
    <w:rsid w:val="0061428F"/>
    <w:rsid w:val="0061513A"/>
    <w:rsid w:val="0061528D"/>
    <w:rsid w:val="00620AE3"/>
    <w:rsid w:val="00621050"/>
    <w:rsid w:val="0062112E"/>
    <w:rsid w:val="00621AC4"/>
    <w:rsid w:val="00621BA5"/>
    <w:rsid w:val="00621C8F"/>
    <w:rsid w:val="00622F08"/>
    <w:rsid w:val="006248EF"/>
    <w:rsid w:val="006253E9"/>
    <w:rsid w:val="00626848"/>
    <w:rsid w:val="00626EFE"/>
    <w:rsid w:val="00627AD0"/>
    <w:rsid w:val="00636F19"/>
    <w:rsid w:val="006411F1"/>
    <w:rsid w:val="00641899"/>
    <w:rsid w:val="00642B6F"/>
    <w:rsid w:val="0064465C"/>
    <w:rsid w:val="006449E9"/>
    <w:rsid w:val="00644C32"/>
    <w:rsid w:val="0064746F"/>
    <w:rsid w:val="0065230F"/>
    <w:rsid w:val="00656710"/>
    <w:rsid w:val="006617B2"/>
    <w:rsid w:val="00662FBF"/>
    <w:rsid w:val="006650C4"/>
    <w:rsid w:val="00671164"/>
    <w:rsid w:val="006711E0"/>
    <w:rsid w:val="00671AC8"/>
    <w:rsid w:val="00671BF0"/>
    <w:rsid w:val="0067241D"/>
    <w:rsid w:val="00673A5C"/>
    <w:rsid w:val="00675464"/>
    <w:rsid w:val="006767E3"/>
    <w:rsid w:val="00677947"/>
    <w:rsid w:val="0068161C"/>
    <w:rsid w:val="006816A2"/>
    <w:rsid w:val="00681D73"/>
    <w:rsid w:val="00687581"/>
    <w:rsid w:val="00695708"/>
    <w:rsid w:val="00696B4B"/>
    <w:rsid w:val="00697A76"/>
    <w:rsid w:val="00697B43"/>
    <w:rsid w:val="00697C49"/>
    <w:rsid w:val="006A4770"/>
    <w:rsid w:val="006A4BD2"/>
    <w:rsid w:val="006A561D"/>
    <w:rsid w:val="006A745B"/>
    <w:rsid w:val="006A7D36"/>
    <w:rsid w:val="006B0701"/>
    <w:rsid w:val="006B1539"/>
    <w:rsid w:val="006B2B4C"/>
    <w:rsid w:val="006B3B7D"/>
    <w:rsid w:val="006B3D42"/>
    <w:rsid w:val="006B405C"/>
    <w:rsid w:val="006B7A3A"/>
    <w:rsid w:val="006C0CE7"/>
    <w:rsid w:val="006C3DCC"/>
    <w:rsid w:val="006D1BB6"/>
    <w:rsid w:val="006D2ADB"/>
    <w:rsid w:val="006D589B"/>
    <w:rsid w:val="006D7FBE"/>
    <w:rsid w:val="006E0C9B"/>
    <w:rsid w:val="006E1B75"/>
    <w:rsid w:val="006E357E"/>
    <w:rsid w:val="006E57F5"/>
    <w:rsid w:val="006E5EE3"/>
    <w:rsid w:val="006E7530"/>
    <w:rsid w:val="006F0D26"/>
    <w:rsid w:val="006F2690"/>
    <w:rsid w:val="006F6DCC"/>
    <w:rsid w:val="006F77C5"/>
    <w:rsid w:val="00701140"/>
    <w:rsid w:val="00701ACF"/>
    <w:rsid w:val="00702818"/>
    <w:rsid w:val="00702FCC"/>
    <w:rsid w:val="00703FAD"/>
    <w:rsid w:val="00705A1F"/>
    <w:rsid w:val="00707B82"/>
    <w:rsid w:val="007108FB"/>
    <w:rsid w:val="00711DAC"/>
    <w:rsid w:val="0071303D"/>
    <w:rsid w:val="007137C4"/>
    <w:rsid w:val="00713B0C"/>
    <w:rsid w:val="0071402A"/>
    <w:rsid w:val="00715944"/>
    <w:rsid w:val="007171BB"/>
    <w:rsid w:val="00717501"/>
    <w:rsid w:val="00717879"/>
    <w:rsid w:val="00720190"/>
    <w:rsid w:val="00722764"/>
    <w:rsid w:val="00726256"/>
    <w:rsid w:val="0072756D"/>
    <w:rsid w:val="00727C42"/>
    <w:rsid w:val="0073018C"/>
    <w:rsid w:val="00730440"/>
    <w:rsid w:val="007307C8"/>
    <w:rsid w:val="00730C5A"/>
    <w:rsid w:val="00731B79"/>
    <w:rsid w:val="007352AF"/>
    <w:rsid w:val="007358FD"/>
    <w:rsid w:val="00740525"/>
    <w:rsid w:val="007471FC"/>
    <w:rsid w:val="007478B5"/>
    <w:rsid w:val="00747FB9"/>
    <w:rsid w:val="00751F19"/>
    <w:rsid w:val="00754061"/>
    <w:rsid w:val="00754B57"/>
    <w:rsid w:val="0075527E"/>
    <w:rsid w:val="00757265"/>
    <w:rsid w:val="007603E6"/>
    <w:rsid w:val="00762F68"/>
    <w:rsid w:val="00763A4A"/>
    <w:rsid w:val="007646ED"/>
    <w:rsid w:val="00764D25"/>
    <w:rsid w:val="00764FF4"/>
    <w:rsid w:val="0076704D"/>
    <w:rsid w:val="007671B6"/>
    <w:rsid w:val="00774C39"/>
    <w:rsid w:val="007760C3"/>
    <w:rsid w:val="00776257"/>
    <w:rsid w:val="007824C7"/>
    <w:rsid w:val="0078608C"/>
    <w:rsid w:val="007867DE"/>
    <w:rsid w:val="00793650"/>
    <w:rsid w:val="00797195"/>
    <w:rsid w:val="007A0CCB"/>
    <w:rsid w:val="007A69C8"/>
    <w:rsid w:val="007A6F20"/>
    <w:rsid w:val="007A72C1"/>
    <w:rsid w:val="007B0365"/>
    <w:rsid w:val="007B3B73"/>
    <w:rsid w:val="007B4994"/>
    <w:rsid w:val="007B61AE"/>
    <w:rsid w:val="007B6912"/>
    <w:rsid w:val="007C3062"/>
    <w:rsid w:val="007C3737"/>
    <w:rsid w:val="007C55CA"/>
    <w:rsid w:val="007C56C1"/>
    <w:rsid w:val="007C5B5D"/>
    <w:rsid w:val="007C5FD5"/>
    <w:rsid w:val="007C655C"/>
    <w:rsid w:val="007D02B2"/>
    <w:rsid w:val="007D1A57"/>
    <w:rsid w:val="007D1D15"/>
    <w:rsid w:val="007D2188"/>
    <w:rsid w:val="007D3127"/>
    <w:rsid w:val="007D35BA"/>
    <w:rsid w:val="007D4DAE"/>
    <w:rsid w:val="007D77D4"/>
    <w:rsid w:val="007E01F1"/>
    <w:rsid w:val="007E0619"/>
    <w:rsid w:val="007E0C77"/>
    <w:rsid w:val="007E6496"/>
    <w:rsid w:val="007E6DDA"/>
    <w:rsid w:val="007E7117"/>
    <w:rsid w:val="007E7C0A"/>
    <w:rsid w:val="007E7DB2"/>
    <w:rsid w:val="007F132D"/>
    <w:rsid w:val="007F4BB3"/>
    <w:rsid w:val="007F515D"/>
    <w:rsid w:val="007F5FC7"/>
    <w:rsid w:val="007F759F"/>
    <w:rsid w:val="0080337D"/>
    <w:rsid w:val="008034D1"/>
    <w:rsid w:val="00805A6C"/>
    <w:rsid w:val="008071B2"/>
    <w:rsid w:val="008076C9"/>
    <w:rsid w:val="008131EA"/>
    <w:rsid w:val="00813DA1"/>
    <w:rsid w:val="00815AA7"/>
    <w:rsid w:val="00815B58"/>
    <w:rsid w:val="00817556"/>
    <w:rsid w:val="008210E8"/>
    <w:rsid w:val="008217F8"/>
    <w:rsid w:val="008322AA"/>
    <w:rsid w:val="0083258F"/>
    <w:rsid w:val="008331D5"/>
    <w:rsid w:val="00840DDE"/>
    <w:rsid w:val="00845D20"/>
    <w:rsid w:val="00850BDF"/>
    <w:rsid w:val="00852151"/>
    <w:rsid w:val="00854E95"/>
    <w:rsid w:val="008555CB"/>
    <w:rsid w:val="008577AB"/>
    <w:rsid w:val="00857E53"/>
    <w:rsid w:val="008607FD"/>
    <w:rsid w:val="00860A15"/>
    <w:rsid w:val="008635ED"/>
    <w:rsid w:val="008649F4"/>
    <w:rsid w:val="00867B8A"/>
    <w:rsid w:val="00867F16"/>
    <w:rsid w:val="00870D5F"/>
    <w:rsid w:val="0087257E"/>
    <w:rsid w:val="00872D01"/>
    <w:rsid w:val="008733ED"/>
    <w:rsid w:val="0087568A"/>
    <w:rsid w:val="0087573B"/>
    <w:rsid w:val="00875D67"/>
    <w:rsid w:val="00875E59"/>
    <w:rsid w:val="00876A7B"/>
    <w:rsid w:val="008801F3"/>
    <w:rsid w:val="00881BF5"/>
    <w:rsid w:val="008824AE"/>
    <w:rsid w:val="00884A0B"/>
    <w:rsid w:val="008859CC"/>
    <w:rsid w:val="008859D5"/>
    <w:rsid w:val="00885CC7"/>
    <w:rsid w:val="008861C0"/>
    <w:rsid w:val="00886890"/>
    <w:rsid w:val="00886FF7"/>
    <w:rsid w:val="0089055A"/>
    <w:rsid w:val="00891E5E"/>
    <w:rsid w:val="00893805"/>
    <w:rsid w:val="00895D6F"/>
    <w:rsid w:val="00895D96"/>
    <w:rsid w:val="008969D8"/>
    <w:rsid w:val="00897240"/>
    <w:rsid w:val="00897C9F"/>
    <w:rsid w:val="00897D31"/>
    <w:rsid w:val="00897DCB"/>
    <w:rsid w:val="008A03D2"/>
    <w:rsid w:val="008A03D5"/>
    <w:rsid w:val="008A03EF"/>
    <w:rsid w:val="008A24C3"/>
    <w:rsid w:val="008A30B1"/>
    <w:rsid w:val="008A30F7"/>
    <w:rsid w:val="008A5481"/>
    <w:rsid w:val="008A7CFC"/>
    <w:rsid w:val="008B1BA9"/>
    <w:rsid w:val="008B5695"/>
    <w:rsid w:val="008B597D"/>
    <w:rsid w:val="008B6B6D"/>
    <w:rsid w:val="008B6EAE"/>
    <w:rsid w:val="008C4824"/>
    <w:rsid w:val="008C6384"/>
    <w:rsid w:val="008C6BBF"/>
    <w:rsid w:val="008D05FB"/>
    <w:rsid w:val="008D087D"/>
    <w:rsid w:val="008D205A"/>
    <w:rsid w:val="008D576F"/>
    <w:rsid w:val="008D79EC"/>
    <w:rsid w:val="008D7A32"/>
    <w:rsid w:val="008E134C"/>
    <w:rsid w:val="008E2114"/>
    <w:rsid w:val="008E3904"/>
    <w:rsid w:val="008E3F05"/>
    <w:rsid w:val="008E5D74"/>
    <w:rsid w:val="008E618B"/>
    <w:rsid w:val="008E6CCF"/>
    <w:rsid w:val="008F02C4"/>
    <w:rsid w:val="008F23AE"/>
    <w:rsid w:val="008F303A"/>
    <w:rsid w:val="008F3EE8"/>
    <w:rsid w:val="008F3FB6"/>
    <w:rsid w:val="008F569F"/>
    <w:rsid w:val="008F5AC3"/>
    <w:rsid w:val="008F7B57"/>
    <w:rsid w:val="00900BC5"/>
    <w:rsid w:val="009019C8"/>
    <w:rsid w:val="00906A03"/>
    <w:rsid w:val="00910760"/>
    <w:rsid w:val="0091100C"/>
    <w:rsid w:val="00911AE9"/>
    <w:rsid w:val="009200AE"/>
    <w:rsid w:val="00921FF0"/>
    <w:rsid w:val="009231E1"/>
    <w:rsid w:val="009233C0"/>
    <w:rsid w:val="00927490"/>
    <w:rsid w:val="00927549"/>
    <w:rsid w:val="0093088A"/>
    <w:rsid w:val="00930F72"/>
    <w:rsid w:val="0093130E"/>
    <w:rsid w:val="0093220C"/>
    <w:rsid w:val="00933D88"/>
    <w:rsid w:val="00935263"/>
    <w:rsid w:val="00935C28"/>
    <w:rsid w:val="00935F08"/>
    <w:rsid w:val="00937AC9"/>
    <w:rsid w:val="00940F29"/>
    <w:rsid w:val="00941009"/>
    <w:rsid w:val="00942EB8"/>
    <w:rsid w:val="009431B3"/>
    <w:rsid w:val="00947C78"/>
    <w:rsid w:val="00951468"/>
    <w:rsid w:val="00954567"/>
    <w:rsid w:val="00956D94"/>
    <w:rsid w:val="00957B0D"/>
    <w:rsid w:val="00960DB3"/>
    <w:rsid w:val="00961CAE"/>
    <w:rsid w:val="00964D32"/>
    <w:rsid w:val="00966DB4"/>
    <w:rsid w:val="00966DBE"/>
    <w:rsid w:val="00967C28"/>
    <w:rsid w:val="00970451"/>
    <w:rsid w:val="00970852"/>
    <w:rsid w:val="00971CBE"/>
    <w:rsid w:val="00972F56"/>
    <w:rsid w:val="00973848"/>
    <w:rsid w:val="00975D32"/>
    <w:rsid w:val="00976CA7"/>
    <w:rsid w:val="009778C7"/>
    <w:rsid w:val="00980F64"/>
    <w:rsid w:val="00981893"/>
    <w:rsid w:val="00981C42"/>
    <w:rsid w:val="0098550C"/>
    <w:rsid w:val="00987A15"/>
    <w:rsid w:val="009918C6"/>
    <w:rsid w:val="00992B84"/>
    <w:rsid w:val="00994406"/>
    <w:rsid w:val="009944A8"/>
    <w:rsid w:val="009A0FA4"/>
    <w:rsid w:val="009A227D"/>
    <w:rsid w:val="009A620A"/>
    <w:rsid w:val="009B11F3"/>
    <w:rsid w:val="009B2808"/>
    <w:rsid w:val="009B4FD7"/>
    <w:rsid w:val="009B54F3"/>
    <w:rsid w:val="009B6183"/>
    <w:rsid w:val="009C1AB1"/>
    <w:rsid w:val="009C1E7E"/>
    <w:rsid w:val="009C2782"/>
    <w:rsid w:val="009C362B"/>
    <w:rsid w:val="009C45DA"/>
    <w:rsid w:val="009C4AB1"/>
    <w:rsid w:val="009D0AF1"/>
    <w:rsid w:val="009D0C31"/>
    <w:rsid w:val="009D258D"/>
    <w:rsid w:val="009D2C7C"/>
    <w:rsid w:val="009D2D12"/>
    <w:rsid w:val="009D2E6E"/>
    <w:rsid w:val="009D7A9B"/>
    <w:rsid w:val="009E46D8"/>
    <w:rsid w:val="009E4787"/>
    <w:rsid w:val="009E4AF4"/>
    <w:rsid w:val="009E5763"/>
    <w:rsid w:val="009E689F"/>
    <w:rsid w:val="009E73FA"/>
    <w:rsid w:val="009F0EB5"/>
    <w:rsid w:val="009F183A"/>
    <w:rsid w:val="009F1918"/>
    <w:rsid w:val="009F273E"/>
    <w:rsid w:val="009F30E5"/>
    <w:rsid w:val="009F3F8E"/>
    <w:rsid w:val="00A00AE6"/>
    <w:rsid w:val="00A01B48"/>
    <w:rsid w:val="00A03F48"/>
    <w:rsid w:val="00A04808"/>
    <w:rsid w:val="00A11700"/>
    <w:rsid w:val="00A141ED"/>
    <w:rsid w:val="00A14888"/>
    <w:rsid w:val="00A14E49"/>
    <w:rsid w:val="00A15501"/>
    <w:rsid w:val="00A1613E"/>
    <w:rsid w:val="00A17253"/>
    <w:rsid w:val="00A1728B"/>
    <w:rsid w:val="00A20516"/>
    <w:rsid w:val="00A21301"/>
    <w:rsid w:val="00A262CF"/>
    <w:rsid w:val="00A27E6B"/>
    <w:rsid w:val="00A33B15"/>
    <w:rsid w:val="00A33CCB"/>
    <w:rsid w:val="00A341D1"/>
    <w:rsid w:val="00A34AD6"/>
    <w:rsid w:val="00A400C9"/>
    <w:rsid w:val="00A41AC2"/>
    <w:rsid w:val="00A42C08"/>
    <w:rsid w:val="00A42CE1"/>
    <w:rsid w:val="00A450BE"/>
    <w:rsid w:val="00A47CA4"/>
    <w:rsid w:val="00A52304"/>
    <w:rsid w:val="00A52484"/>
    <w:rsid w:val="00A60635"/>
    <w:rsid w:val="00A6274B"/>
    <w:rsid w:val="00A701A6"/>
    <w:rsid w:val="00A70732"/>
    <w:rsid w:val="00A722E3"/>
    <w:rsid w:val="00A72A4E"/>
    <w:rsid w:val="00A73374"/>
    <w:rsid w:val="00A7347E"/>
    <w:rsid w:val="00A7365A"/>
    <w:rsid w:val="00A7366A"/>
    <w:rsid w:val="00A773FC"/>
    <w:rsid w:val="00A809F5"/>
    <w:rsid w:val="00A81390"/>
    <w:rsid w:val="00A82092"/>
    <w:rsid w:val="00A82295"/>
    <w:rsid w:val="00A82678"/>
    <w:rsid w:val="00A82D4A"/>
    <w:rsid w:val="00A82F47"/>
    <w:rsid w:val="00A835E2"/>
    <w:rsid w:val="00A83FB1"/>
    <w:rsid w:val="00A8625C"/>
    <w:rsid w:val="00A86A53"/>
    <w:rsid w:val="00A86F81"/>
    <w:rsid w:val="00A876F4"/>
    <w:rsid w:val="00A91381"/>
    <w:rsid w:val="00A9267E"/>
    <w:rsid w:val="00A947B1"/>
    <w:rsid w:val="00A96BF6"/>
    <w:rsid w:val="00A97F6D"/>
    <w:rsid w:val="00AA0244"/>
    <w:rsid w:val="00AA323B"/>
    <w:rsid w:val="00AA41F7"/>
    <w:rsid w:val="00AB3849"/>
    <w:rsid w:val="00AB3AFE"/>
    <w:rsid w:val="00AB49C4"/>
    <w:rsid w:val="00AB5722"/>
    <w:rsid w:val="00AB69E4"/>
    <w:rsid w:val="00AC15FB"/>
    <w:rsid w:val="00AC2799"/>
    <w:rsid w:val="00AC69B0"/>
    <w:rsid w:val="00AC7CBA"/>
    <w:rsid w:val="00AD59E5"/>
    <w:rsid w:val="00AD70E4"/>
    <w:rsid w:val="00AE1662"/>
    <w:rsid w:val="00AE21F3"/>
    <w:rsid w:val="00AE29CD"/>
    <w:rsid w:val="00AE2A8D"/>
    <w:rsid w:val="00AE33CD"/>
    <w:rsid w:val="00AE422E"/>
    <w:rsid w:val="00AE7615"/>
    <w:rsid w:val="00AE7FE2"/>
    <w:rsid w:val="00AF17A0"/>
    <w:rsid w:val="00AF4930"/>
    <w:rsid w:val="00B00555"/>
    <w:rsid w:val="00B0085A"/>
    <w:rsid w:val="00B0098B"/>
    <w:rsid w:val="00B009F0"/>
    <w:rsid w:val="00B0188F"/>
    <w:rsid w:val="00B04082"/>
    <w:rsid w:val="00B05C77"/>
    <w:rsid w:val="00B07B7D"/>
    <w:rsid w:val="00B113B2"/>
    <w:rsid w:val="00B12A0B"/>
    <w:rsid w:val="00B12C3B"/>
    <w:rsid w:val="00B13C3A"/>
    <w:rsid w:val="00B15F05"/>
    <w:rsid w:val="00B15FB0"/>
    <w:rsid w:val="00B1614B"/>
    <w:rsid w:val="00B16F84"/>
    <w:rsid w:val="00B237BC"/>
    <w:rsid w:val="00B2428B"/>
    <w:rsid w:val="00B24F80"/>
    <w:rsid w:val="00B27284"/>
    <w:rsid w:val="00B278AF"/>
    <w:rsid w:val="00B31106"/>
    <w:rsid w:val="00B33975"/>
    <w:rsid w:val="00B34F7B"/>
    <w:rsid w:val="00B35245"/>
    <w:rsid w:val="00B358F6"/>
    <w:rsid w:val="00B36ED9"/>
    <w:rsid w:val="00B36F61"/>
    <w:rsid w:val="00B3731B"/>
    <w:rsid w:val="00B4629A"/>
    <w:rsid w:val="00B463B9"/>
    <w:rsid w:val="00B471B5"/>
    <w:rsid w:val="00B47255"/>
    <w:rsid w:val="00B47880"/>
    <w:rsid w:val="00B5156B"/>
    <w:rsid w:val="00B5178E"/>
    <w:rsid w:val="00B52282"/>
    <w:rsid w:val="00B526D8"/>
    <w:rsid w:val="00B5310F"/>
    <w:rsid w:val="00B5321B"/>
    <w:rsid w:val="00B54B80"/>
    <w:rsid w:val="00B5594D"/>
    <w:rsid w:val="00B579CE"/>
    <w:rsid w:val="00B60360"/>
    <w:rsid w:val="00B60757"/>
    <w:rsid w:val="00B63368"/>
    <w:rsid w:val="00B6693F"/>
    <w:rsid w:val="00B6739D"/>
    <w:rsid w:val="00B70432"/>
    <w:rsid w:val="00B72079"/>
    <w:rsid w:val="00B744CC"/>
    <w:rsid w:val="00B77B05"/>
    <w:rsid w:val="00B77B29"/>
    <w:rsid w:val="00B80541"/>
    <w:rsid w:val="00B8300B"/>
    <w:rsid w:val="00B83C0B"/>
    <w:rsid w:val="00B84124"/>
    <w:rsid w:val="00B8440A"/>
    <w:rsid w:val="00B85250"/>
    <w:rsid w:val="00B86486"/>
    <w:rsid w:val="00B865F2"/>
    <w:rsid w:val="00B9066A"/>
    <w:rsid w:val="00B91410"/>
    <w:rsid w:val="00B918E3"/>
    <w:rsid w:val="00B91B9B"/>
    <w:rsid w:val="00B92B72"/>
    <w:rsid w:val="00B930C2"/>
    <w:rsid w:val="00B94E8F"/>
    <w:rsid w:val="00B95AE0"/>
    <w:rsid w:val="00BA2A8F"/>
    <w:rsid w:val="00BB543B"/>
    <w:rsid w:val="00BB66C5"/>
    <w:rsid w:val="00BB798B"/>
    <w:rsid w:val="00BC0078"/>
    <w:rsid w:val="00BC37C5"/>
    <w:rsid w:val="00BC3EC9"/>
    <w:rsid w:val="00BC43CD"/>
    <w:rsid w:val="00BC5A28"/>
    <w:rsid w:val="00BC697F"/>
    <w:rsid w:val="00BD08A6"/>
    <w:rsid w:val="00BD098E"/>
    <w:rsid w:val="00BD39A1"/>
    <w:rsid w:val="00BD46BC"/>
    <w:rsid w:val="00BD56C8"/>
    <w:rsid w:val="00BD5E44"/>
    <w:rsid w:val="00BD69D6"/>
    <w:rsid w:val="00BE1152"/>
    <w:rsid w:val="00BE16D5"/>
    <w:rsid w:val="00BE1BB8"/>
    <w:rsid w:val="00BE4F52"/>
    <w:rsid w:val="00BE66AC"/>
    <w:rsid w:val="00BE6BCF"/>
    <w:rsid w:val="00BE6F2D"/>
    <w:rsid w:val="00BF12D1"/>
    <w:rsid w:val="00C02407"/>
    <w:rsid w:val="00C040F3"/>
    <w:rsid w:val="00C04F29"/>
    <w:rsid w:val="00C0606B"/>
    <w:rsid w:val="00C06EC9"/>
    <w:rsid w:val="00C06F8D"/>
    <w:rsid w:val="00C07B75"/>
    <w:rsid w:val="00C10A12"/>
    <w:rsid w:val="00C11618"/>
    <w:rsid w:val="00C14D84"/>
    <w:rsid w:val="00C14EDC"/>
    <w:rsid w:val="00C1525B"/>
    <w:rsid w:val="00C157EF"/>
    <w:rsid w:val="00C15A0D"/>
    <w:rsid w:val="00C17633"/>
    <w:rsid w:val="00C20C23"/>
    <w:rsid w:val="00C22601"/>
    <w:rsid w:val="00C23515"/>
    <w:rsid w:val="00C3324D"/>
    <w:rsid w:val="00C3444D"/>
    <w:rsid w:val="00C3627A"/>
    <w:rsid w:val="00C36CE4"/>
    <w:rsid w:val="00C40AA4"/>
    <w:rsid w:val="00C40B93"/>
    <w:rsid w:val="00C426A9"/>
    <w:rsid w:val="00C42757"/>
    <w:rsid w:val="00C4337B"/>
    <w:rsid w:val="00C43513"/>
    <w:rsid w:val="00C44395"/>
    <w:rsid w:val="00C455CF"/>
    <w:rsid w:val="00C50F3E"/>
    <w:rsid w:val="00C558E6"/>
    <w:rsid w:val="00C561B3"/>
    <w:rsid w:val="00C56922"/>
    <w:rsid w:val="00C60E73"/>
    <w:rsid w:val="00C6122A"/>
    <w:rsid w:val="00C636B7"/>
    <w:rsid w:val="00C6565C"/>
    <w:rsid w:val="00C662E7"/>
    <w:rsid w:val="00C66A9A"/>
    <w:rsid w:val="00C67588"/>
    <w:rsid w:val="00C67661"/>
    <w:rsid w:val="00C6767A"/>
    <w:rsid w:val="00C70526"/>
    <w:rsid w:val="00C70A45"/>
    <w:rsid w:val="00C70E95"/>
    <w:rsid w:val="00C77285"/>
    <w:rsid w:val="00C812E3"/>
    <w:rsid w:val="00C82530"/>
    <w:rsid w:val="00C82D47"/>
    <w:rsid w:val="00C8316A"/>
    <w:rsid w:val="00C8399E"/>
    <w:rsid w:val="00C83B76"/>
    <w:rsid w:val="00C85A47"/>
    <w:rsid w:val="00C8618B"/>
    <w:rsid w:val="00C863D2"/>
    <w:rsid w:val="00C86BC3"/>
    <w:rsid w:val="00C90222"/>
    <w:rsid w:val="00C904CE"/>
    <w:rsid w:val="00C90F45"/>
    <w:rsid w:val="00C9329C"/>
    <w:rsid w:val="00C95ED4"/>
    <w:rsid w:val="00C96EA5"/>
    <w:rsid w:val="00CA32A4"/>
    <w:rsid w:val="00CA3EF4"/>
    <w:rsid w:val="00CA4338"/>
    <w:rsid w:val="00CA4C5D"/>
    <w:rsid w:val="00CA5440"/>
    <w:rsid w:val="00CA5634"/>
    <w:rsid w:val="00CA77ED"/>
    <w:rsid w:val="00CB22A0"/>
    <w:rsid w:val="00CB4779"/>
    <w:rsid w:val="00CB5BE0"/>
    <w:rsid w:val="00CB6290"/>
    <w:rsid w:val="00CC0D1A"/>
    <w:rsid w:val="00CC1F47"/>
    <w:rsid w:val="00CC21BB"/>
    <w:rsid w:val="00CC2D21"/>
    <w:rsid w:val="00CC3408"/>
    <w:rsid w:val="00CC3665"/>
    <w:rsid w:val="00CC45CB"/>
    <w:rsid w:val="00CC4CE1"/>
    <w:rsid w:val="00CC4DAA"/>
    <w:rsid w:val="00CC5055"/>
    <w:rsid w:val="00CC6737"/>
    <w:rsid w:val="00CD01A4"/>
    <w:rsid w:val="00CD0FFF"/>
    <w:rsid w:val="00CD13AD"/>
    <w:rsid w:val="00CD15AA"/>
    <w:rsid w:val="00CD27BC"/>
    <w:rsid w:val="00CD29D1"/>
    <w:rsid w:val="00CD32D2"/>
    <w:rsid w:val="00CD4816"/>
    <w:rsid w:val="00CD64EF"/>
    <w:rsid w:val="00CD7338"/>
    <w:rsid w:val="00CE138D"/>
    <w:rsid w:val="00CE184A"/>
    <w:rsid w:val="00CE3163"/>
    <w:rsid w:val="00CE5E69"/>
    <w:rsid w:val="00CE78C3"/>
    <w:rsid w:val="00CF153A"/>
    <w:rsid w:val="00D0193F"/>
    <w:rsid w:val="00D058D2"/>
    <w:rsid w:val="00D05C84"/>
    <w:rsid w:val="00D06BC3"/>
    <w:rsid w:val="00D073BD"/>
    <w:rsid w:val="00D11AE3"/>
    <w:rsid w:val="00D13943"/>
    <w:rsid w:val="00D167A6"/>
    <w:rsid w:val="00D17BDF"/>
    <w:rsid w:val="00D20706"/>
    <w:rsid w:val="00D20D73"/>
    <w:rsid w:val="00D23730"/>
    <w:rsid w:val="00D23A37"/>
    <w:rsid w:val="00D2460F"/>
    <w:rsid w:val="00D3013E"/>
    <w:rsid w:val="00D32008"/>
    <w:rsid w:val="00D323B7"/>
    <w:rsid w:val="00D3261A"/>
    <w:rsid w:val="00D33D26"/>
    <w:rsid w:val="00D33FB9"/>
    <w:rsid w:val="00D35626"/>
    <w:rsid w:val="00D3604A"/>
    <w:rsid w:val="00D3694A"/>
    <w:rsid w:val="00D36ABE"/>
    <w:rsid w:val="00D36E60"/>
    <w:rsid w:val="00D37261"/>
    <w:rsid w:val="00D42625"/>
    <w:rsid w:val="00D426CA"/>
    <w:rsid w:val="00D462E8"/>
    <w:rsid w:val="00D477E4"/>
    <w:rsid w:val="00D50026"/>
    <w:rsid w:val="00D51217"/>
    <w:rsid w:val="00D526F1"/>
    <w:rsid w:val="00D52AAD"/>
    <w:rsid w:val="00D52AB3"/>
    <w:rsid w:val="00D54625"/>
    <w:rsid w:val="00D54D1D"/>
    <w:rsid w:val="00D5604D"/>
    <w:rsid w:val="00D569B1"/>
    <w:rsid w:val="00D5712F"/>
    <w:rsid w:val="00D573B3"/>
    <w:rsid w:val="00D57538"/>
    <w:rsid w:val="00D608AA"/>
    <w:rsid w:val="00D60BEF"/>
    <w:rsid w:val="00D6293D"/>
    <w:rsid w:val="00D645FA"/>
    <w:rsid w:val="00D66751"/>
    <w:rsid w:val="00D67639"/>
    <w:rsid w:val="00D67DB8"/>
    <w:rsid w:val="00D70730"/>
    <w:rsid w:val="00D70934"/>
    <w:rsid w:val="00D729C1"/>
    <w:rsid w:val="00D72C44"/>
    <w:rsid w:val="00D7440A"/>
    <w:rsid w:val="00D753EC"/>
    <w:rsid w:val="00D76746"/>
    <w:rsid w:val="00D7696C"/>
    <w:rsid w:val="00D777CC"/>
    <w:rsid w:val="00D77B6F"/>
    <w:rsid w:val="00D77DE8"/>
    <w:rsid w:val="00D81551"/>
    <w:rsid w:val="00D85BF4"/>
    <w:rsid w:val="00D86923"/>
    <w:rsid w:val="00D873B5"/>
    <w:rsid w:val="00D87BCC"/>
    <w:rsid w:val="00D91EB7"/>
    <w:rsid w:val="00D9296C"/>
    <w:rsid w:val="00D92A6D"/>
    <w:rsid w:val="00D92BD8"/>
    <w:rsid w:val="00D93207"/>
    <w:rsid w:val="00D9716F"/>
    <w:rsid w:val="00D97F91"/>
    <w:rsid w:val="00DA0304"/>
    <w:rsid w:val="00DA2479"/>
    <w:rsid w:val="00DA2EE6"/>
    <w:rsid w:val="00DA31F8"/>
    <w:rsid w:val="00DA3946"/>
    <w:rsid w:val="00DA488D"/>
    <w:rsid w:val="00DB3461"/>
    <w:rsid w:val="00DB4DB0"/>
    <w:rsid w:val="00DB6ACE"/>
    <w:rsid w:val="00DC0CA2"/>
    <w:rsid w:val="00DC4D4C"/>
    <w:rsid w:val="00DC4F8E"/>
    <w:rsid w:val="00DC5D21"/>
    <w:rsid w:val="00DC619A"/>
    <w:rsid w:val="00DD4461"/>
    <w:rsid w:val="00DD51D5"/>
    <w:rsid w:val="00DD5448"/>
    <w:rsid w:val="00DD5AB4"/>
    <w:rsid w:val="00DE0B07"/>
    <w:rsid w:val="00DE1803"/>
    <w:rsid w:val="00DE2155"/>
    <w:rsid w:val="00DE6568"/>
    <w:rsid w:val="00DE7344"/>
    <w:rsid w:val="00DE7740"/>
    <w:rsid w:val="00DF0C68"/>
    <w:rsid w:val="00DF5416"/>
    <w:rsid w:val="00DF5659"/>
    <w:rsid w:val="00DF6BEE"/>
    <w:rsid w:val="00DF7A77"/>
    <w:rsid w:val="00E0044A"/>
    <w:rsid w:val="00E004A4"/>
    <w:rsid w:val="00E0270D"/>
    <w:rsid w:val="00E04FC3"/>
    <w:rsid w:val="00E054F7"/>
    <w:rsid w:val="00E06AFB"/>
    <w:rsid w:val="00E0752C"/>
    <w:rsid w:val="00E11CBC"/>
    <w:rsid w:val="00E11FB2"/>
    <w:rsid w:val="00E124B0"/>
    <w:rsid w:val="00E12E97"/>
    <w:rsid w:val="00E13FEB"/>
    <w:rsid w:val="00E144A9"/>
    <w:rsid w:val="00E14758"/>
    <w:rsid w:val="00E175CA"/>
    <w:rsid w:val="00E17847"/>
    <w:rsid w:val="00E17EF8"/>
    <w:rsid w:val="00E20D41"/>
    <w:rsid w:val="00E20F24"/>
    <w:rsid w:val="00E211DA"/>
    <w:rsid w:val="00E218FF"/>
    <w:rsid w:val="00E21D26"/>
    <w:rsid w:val="00E2236E"/>
    <w:rsid w:val="00E2387A"/>
    <w:rsid w:val="00E2451D"/>
    <w:rsid w:val="00E3034F"/>
    <w:rsid w:val="00E314DE"/>
    <w:rsid w:val="00E35171"/>
    <w:rsid w:val="00E35D50"/>
    <w:rsid w:val="00E37DA0"/>
    <w:rsid w:val="00E40DC9"/>
    <w:rsid w:val="00E40F7D"/>
    <w:rsid w:val="00E41F89"/>
    <w:rsid w:val="00E421C1"/>
    <w:rsid w:val="00E44EB2"/>
    <w:rsid w:val="00E46577"/>
    <w:rsid w:val="00E50A32"/>
    <w:rsid w:val="00E51D10"/>
    <w:rsid w:val="00E52A41"/>
    <w:rsid w:val="00E531BB"/>
    <w:rsid w:val="00E53530"/>
    <w:rsid w:val="00E547C0"/>
    <w:rsid w:val="00E56B8E"/>
    <w:rsid w:val="00E57096"/>
    <w:rsid w:val="00E60143"/>
    <w:rsid w:val="00E61173"/>
    <w:rsid w:val="00E62FED"/>
    <w:rsid w:val="00E63D42"/>
    <w:rsid w:val="00E65C91"/>
    <w:rsid w:val="00E66BDF"/>
    <w:rsid w:val="00E70CE2"/>
    <w:rsid w:val="00E72063"/>
    <w:rsid w:val="00E7220B"/>
    <w:rsid w:val="00E72533"/>
    <w:rsid w:val="00E74F9F"/>
    <w:rsid w:val="00E75BAA"/>
    <w:rsid w:val="00E75DAD"/>
    <w:rsid w:val="00E76511"/>
    <w:rsid w:val="00E77E2A"/>
    <w:rsid w:val="00E80E4C"/>
    <w:rsid w:val="00E8152E"/>
    <w:rsid w:val="00E81F3C"/>
    <w:rsid w:val="00E826C9"/>
    <w:rsid w:val="00E82AB0"/>
    <w:rsid w:val="00E84183"/>
    <w:rsid w:val="00E85E20"/>
    <w:rsid w:val="00E87146"/>
    <w:rsid w:val="00E9107F"/>
    <w:rsid w:val="00E91E08"/>
    <w:rsid w:val="00E92497"/>
    <w:rsid w:val="00E926D3"/>
    <w:rsid w:val="00E94DBE"/>
    <w:rsid w:val="00E954E3"/>
    <w:rsid w:val="00E95D28"/>
    <w:rsid w:val="00E96B91"/>
    <w:rsid w:val="00EA15DB"/>
    <w:rsid w:val="00EA352B"/>
    <w:rsid w:val="00EA653B"/>
    <w:rsid w:val="00EB0F3A"/>
    <w:rsid w:val="00EB1B17"/>
    <w:rsid w:val="00EB241E"/>
    <w:rsid w:val="00EB5A67"/>
    <w:rsid w:val="00EB7C9F"/>
    <w:rsid w:val="00EC1CF7"/>
    <w:rsid w:val="00EC3882"/>
    <w:rsid w:val="00EC43CF"/>
    <w:rsid w:val="00EC5213"/>
    <w:rsid w:val="00EC5A65"/>
    <w:rsid w:val="00EC5FB9"/>
    <w:rsid w:val="00EC5FD0"/>
    <w:rsid w:val="00EC687C"/>
    <w:rsid w:val="00ED0D7B"/>
    <w:rsid w:val="00ED73D0"/>
    <w:rsid w:val="00EE49AA"/>
    <w:rsid w:val="00EE518D"/>
    <w:rsid w:val="00EE5C04"/>
    <w:rsid w:val="00EF0C35"/>
    <w:rsid w:val="00EF28A7"/>
    <w:rsid w:val="00EF604E"/>
    <w:rsid w:val="00EF7047"/>
    <w:rsid w:val="00F02187"/>
    <w:rsid w:val="00F058DC"/>
    <w:rsid w:val="00F10D2B"/>
    <w:rsid w:val="00F1107E"/>
    <w:rsid w:val="00F128BB"/>
    <w:rsid w:val="00F12D9C"/>
    <w:rsid w:val="00F140EC"/>
    <w:rsid w:val="00F15849"/>
    <w:rsid w:val="00F219F4"/>
    <w:rsid w:val="00F242FC"/>
    <w:rsid w:val="00F25023"/>
    <w:rsid w:val="00F26A00"/>
    <w:rsid w:val="00F26D9A"/>
    <w:rsid w:val="00F30313"/>
    <w:rsid w:val="00F31034"/>
    <w:rsid w:val="00F310DC"/>
    <w:rsid w:val="00F355F7"/>
    <w:rsid w:val="00F3600F"/>
    <w:rsid w:val="00F40E77"/>
    <w:rsid w:val="00F4171A"/>
    <w:rsid w:val="00F4385C"/>
    <w:rsid w:val="00F43BB8"/>
    <w:rsid w:val="00F47BDE"/>
    <w:rsid w:val="00F505DD"/>
    <w:rsid w:val="00F51AF1"/>
    <w:rsid w:val="00F537A5"/>
    <w:rsid w:val="00F550EC"/>
    <w:rsid w:val="00F554F7"/>
    <w:rsid w:val="00F56C86"/>
    <w:rsid w:val="00F56D51"/>
    <w:rsid w:val="00F56D79"/>
    <w:rsid w:val="00F57BCC"/>
    <w:rsid w:val="00F60344"/>
    <w:rsid w:val="00F61B80"/>
    <w:rsid w:val="00F62C27"/>
    <w:rsid w:val="00F64242"/>
    <w:rsid w:val="00F66B92"/>
    <w:rsid w:val="00F708B0"/>
    <w:rsid w:val="00F723E0"/>
    <w:rsid w:val="00F753E2"/>
    <w:rsid w:val="00F75C5F"/>
    <w:rsid w:val="00F77D69"/>
    <w:rsid w:val="00F80A87"/>
    <w:rsid w:val="00F8226A"/>
    <w:rsid w:val="00F842D3"/>
    <w:rsid w:val="00F9032E"/>
    <w:rsid w:val="00F9170C"/>
    <w:rsid w:val="00F9340A"/>
    <w:rsid w:val="00F946EC"/>
    <w:rsid w:val="00F94D5C"/>
    <w:rsid w:val="00F97CBC"/>
    <w:rsid w:val="00FA10C0"/>
    <w:rsid w:val="00FA1CF3"/>
    <w:rsid w:val="00FA21D4"/>
    <w:rsid w:val="00FA2F3E"/>
    <w:rsid w:val="00FA52D4"/>
    <w:rsid w:val="00FA5DC6"/>
    <w:rsid w:val="00FA60B6"/>
    <w:rsid w:val="00FB2D7D"/>
    <w:rsid w:val="00FB3DBA"/>
    <w:rsid w:val="00FB6064"/>
    <w:rsid w:val="00FB66C9"/>
    <w:rsid w:val="00FC1DB1"/>
    <w:rsid w:val="00FC3294"/>
    <w:rsid w:val="00FD1DE0"/>
    <w:rsid w:val="00FD4D53"/>
    <w:rsid w:val="00FD78E9"/>
    <w:rsid w:val="00FE01B1"/>
    <w:rsid w:val="00FE14B4"/>
    <w:rsid w:val="00FE3827"/>
    <w:rsid w:val="00FE39CC"/>
    <w:rsid w:val="00FE5187"/>
    <w:rsid w:val="00FE5C82"/>
    <w:rsid w:val="00FF03C5"/>
    <w:rsid w:val="00FF435C"/>
    <w:rsid w:val="00FF4588"/>
    <w:rsid w:val="00FF5924"/>
    <w:rsid w:val="00FF6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52D1A-73FB-4444-B187-CA12C6D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5"/>
  </w:style>
  <w:style w:type="paragraph" w:styleId="Heading1">
    <w:name w:val="heading 1"/>
    <w:basedOn w:val="Normal"/>
    <w:next w:val="Normal"/>
    <w:link w:val="Heading1Char"/>
    <w:autoRedefine/>
    <w:uiPriority w:val="9"/>
    <w:qFormat/>
    <w:rsid w:val="007603E6"/>
    <w:pPr>
      <w:keepNext/>
      <w:keepLines/>
      <w:shd w:val="clear" w:color="auto" w:fill="FFFFFF" w:themeFill="background1"/>
      <w:spacing w:before="120" w:after="120" w:line="276" w:lineRule="auto"/>
      <w:jc w:val="center"/>
      <w:outlineLvl w:val="0"/>
    </w:pPr>
    <w:rPr>
      <w:rFonts w:ascii="Bookman Old Style" w:hAnsi="Bookman Old Style" w:cstheme="majorBidi"/>
      <w:b/>
      <w:color w:val="0070C0"/>
      <w:sz w:val="28"/>
      <w:szCs w:val="28"/>
    </w:rPr>
  </w:style>
  <w:style w:type="paragraph" w:styleId="Heading2">
    <w:name w:val="heading 2"/>
    <w:basedOn w:val="Normal"/>
    <w:next w:val="Normal"/>
    <w:link w:val="Heading2Char"/>
    <w:uiPriority w:val="9"/>
    <w:unhideWhenUsed/>
    <w:qFormat/>
    <w:rsid w:val="002A7796"/>
    <w:pPr>
      <w:keepNext/>
      <w:keepLines/>
      <w:spacing w:before="160" w:after="120"/>
      <w:outlineLvl w:val="1"/>
    </w:pPr>
    <w:rPr>
      <w:rFonts w:ascii="Bookman Old Style" w:eastAsiaTheme="majorEastAsia" w:hAnsi="Bookman Old Style" w:cstheme="majorBidi"/>
      <w:b/>
      <w:color w:val="ED7D31" w:themeColor="accent2"/>
      <w:sz w:val="24"/>
      <w:szCs w:val="26"/>
    </w:rPr>
  </w:style>
  <w:style w:type="paragraph" w:styleId="Heading3">
    <w:name w:val="heading 3"/>
    <w:basedOn w:val="Normal"/>
    <w:next w:val="Normal"/>
    <w:link w:val="Heading3Char"/>
    <w:uiPriority w:val="9"/>
    <w:unhideWhenUsed/>
    <w:qFormat/>
    <w:rsid w:val="00BA2A8F"/>
    <w:pPr>
      <w:keepNext/>
      <w:keepLines/>
      <w:spacing w:before="40" w:after="0" w:line="360" w:lineRule="auto"/>
      <w:outlineLvl w:val="2"/>
    </w:pPr>
    <w:rPr>
      <w:rFonts w:ascii="Bookman Old Style" w:eastAsiaTheme="majorEastAsia" w:hAnsi="Bookman Old Style" w:cstheme="majorBidi"/>
      <w:b/>
      <w:color w:val="ED7D31" w:themeColor="accent2"/>
      <w:sz w:val="24"/>
      <w:szCs w:val="24"/>
    </w:rPr>
  </w:style>
  <w:style w:type="paragraph" w:styleId="Heading5">
    <w:name w:val="heading 5"/>
    <w:basedOn w:val="Normal"/>
    <w:next w:val="Normal"/>
    <w:link w:val="Heading5Char"/>
    <w:uiPriority w:val="9"/>
    <w:semiHidden/>
    <w:unhideWhenUsed/>
    <w:qFormat/>
    <w:rsid w:val="00C3324D"/>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E6"/>
    <w:rPr>
      <w:rFonts w:ascii="Bookman Old Style" w:hAnsi="Bookman Old Style" w:cstheme="majorBidi"/>
      <w:b/>
      <w:color w:val="0070C0"/>
      <w:sz w:val="28"/>
      <w:szCs w:val="28"/>
      <w:shd w:val="clear" w:color="auto" w:fill="FFFFFF" w:themeFill="background1"/>
    </w:rPr>
  </w:style>
  <w:style w:type="character" w:customStyle="1" w:styleId="Heading2Char">
    <w:name w:val="Heading 2 Char"/>
    <w:basedOn w:val="DefaultParagraphFont"/>
    <w:link w:val="Heading2"/>
    <w:uiPriority w:val="9"/>
    <w:rsid w:val="002A7796"/>
    <w:rPr>
      <w:rFonts w:ascii="Bookman Old Style" w:eastAsiaTheme="majorEastAsia" w:hAnsi="Bookman Old Style" w:cstheme="majorBidi"/>
      <w:b/>
      <w:color w:val="ED7D31" w:themeColor="accent2"/>
      <w:sz w:val="24"/>
      <w:szCs w:val="26"/>
    </w:rPr>
  </w:style>
  <w:style w:type="character" w:customStyle="1" w:styleId="Heading3Char">
    <w:name w:val="Heading 3 Char"/>
    <w:basedOn w:val="DefaultParagraphFont"/>
    <w:link w:val="Heading3"/>
    <w:uiPriority w:val="9"/>
    <w:rsid w:val="00BA2A8F"/>
    <w:rPr>
      <w:rFonts w:ascii="Bookman Old Style" w:eastAsiaTheme="majorEastAsia" w:hAnsi="Bookman Old Style" w:cstheme="majorBidi"/>
      <w:b/>
      <w:color w:val="ED7D31" w:themeColor="accent2"/>
      <w:sz w:val="24"/>
      <w:szCs w:val="24"/>
    </w:rPr>
  </w:style>
  <w:style w:type="table" w:styleId="TableGrid">
    <w:name w:val="Table Grid"/>
    <w:basedOn w:val="TableNormal"/>
    <w:uiPriority w:val="39"/>
    <w:rsid w:val="002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DD"/>
  </w:style>
  <w:style w:type="paragraph" w:styleId="Footer">
    <w:name w:val="footer"/>
    <w:basedOn w:val="Normal"/>
    <w:link w:val="FooterChar"/>
    <w:uiPriority w:val="99"/>
    <w:unhideWhenUsed/>
    <w:rsid w:val="002D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DD"/>
  </w:style>
  <w:style w:type="paragraph" w:styleId="NormalWeb">
    <w:name w:val="Normal (Web)"/>
    <w:basedOn w:val="Normal"/>
    <w:uiPriority w:val="99"/>
    <w:unhideWhenUsed/>
    <w:rsid w:val="008210E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A8"/>
    <w:rPr>
      <w:b/>
      <w:bCs/>
    </w:rPr>
  </w:style>
  <w:style w:type="character" w:styleId="Emphasis">
    <w:name w:val="Emphasis"/>
    <w:basedOn w:val="DefaultParagraphFont"/>
    <w:uiPriority w:val="20"/>
    <w:qFormat/>
    <w:rsid w:val="00B918E3"/>
    <w:rPr>
      <w:i/>
      <w:iCs/>
    </w:rPr>
  </w:style>
  <w:style w:type="paragraph" w:styleId="NoSpacing">
    <w:name w:val="No Spacing"/>
    <w:link w:val="NoSpacingChar"/>
    <w:uiPriority w:val="1"/>
    <w:qFormat/>
    <w:rsid w:val="0072019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0190"/>
    <w:rPr>
      <w:rFonts w:ascii="Calibri" w:eastAsia="Times New Roman" w:hAnsi="Calibri" w:cs="Times New Roman"/>
    </w:rPr>
  </w:style>
  <w:style w:type="paragraph" w:customStyle="1" w:styleId="NoSpacing1">
    <w:name w:val="No Spacing1"/>
    <w:uiPriority w:val="1"/>
    <w:qFormat/>
    <w:rsid w:val="00720190"/>
    <w:pPr>
      <w:spacing w:after="0" w:line="240" w:lineRule="auto"/>
    </w:pPr>
    <w:rPr>
      <w:rFonts w:ascii="Calibri" w:eastAsia="Times New Roman" w:hAnsi="Calibri" w:cs="Times New Roman"/>
    </w:rPr>
  </w:style>
  <w:style w:type="paragraph" w:styleId="ListParagraph">
    <w:name w:val="List Paragraph"/>
    <w:aliases w:val="AB List 1,Bullet Points,ProcessA,Paragraphe de liste,Liste couleur - Accent 1,Liste couleur - Accent 14,List Bulet,Puces,References,- List tir,List Bullet Mary,NUMBERED PARAGRAPH,List Paragraph 1,List Paragraph (numbered (a)),lp1,Bullets"/>
    <w:basedOn w:val="Normal"/>
    <w:link w:val="ListParagraphChar"/>
    <w:uiPriority w:val="34"/>
    <w:qFormat/>
    <w:rsid w:val="00CC67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B List 1 Char,Bullet Points Char,ProcessA Char,Paragraphe de liste Char,Liste couleur - Accent 1 Char,Liste couleur - Accent 14 Char,List Bulet Char,Puces Char,References Char,- List tir Char,List Bullet Mary Char,lp1 Char"/>
    <w:link w:val="ListParagraph"/>
    <w:uiPriority w:val="34"/>
    <w:qFormat/>
    <w:rsid w:val="00DF6BEE"/>
    <w:rPr>
      <w:rFonts w:ascii="Times New Roman" w:eastAsia="Times New Roman" w:hAnsi="Times New Roman" w:cs="Times New Roman"/>
      <w:sz w:val="24"/>
      <w:szCs w:val="24"/>
    </w:rPr>
  </w:style>
  <w:style w:type="paragraph" w:styleId="FootnoteText">
    <w:name w:val="footnote text"/>
    <w:aliases w:val="single space,FOOTNOTES,fn,footnote text,Footnote Text Char1,Footnote Text Char Char,Footnote Text 1,Footnote,Footnote Text qer,f,Footnote Text Char2 Char,Footnote Text Char1 Char Char,Footnote Text Char2 Char Char Char,ALTS FOOTNOTE,ft,ADB"/>
    <w:basedOn w:val="Normal"/>
    <w:link w:val="FootnoteTextChar"/>
    <w:uiPriority w:val="99"/>
    <w:unhideWhenUsed/>
    <w:qFormat/>
    <w:rsid w:val="00DF6BEE"/>
    <w:pPr>
      <w:spacing w:after="0" w:line="240" w:lineRule="auto"/>
    </w:pPr>
    <w:rPr>
      <w:sz w:val="20"/>
      <w:szCs w:val="20"/>
    </w:rPr>
  </w:style>
  <w:style w:type="character" w:customStyle="1" w:styleId="FootnoteTextChar">
    <w:name w:val="Footnote Text Char"/>
    <w:aliases w:val="single space Char,FOOTNOTES Char,fn Char,footnote text Char,Footnote Text Char1 Char,Footnote Text Char Char Char,Footnote Text 1 Char,Footnote Char,Footnote Text qer Char,f Char,Footnote Text Char2 Char Char,ALTS FOOTNOTE Char"/>
    <w:basedOn w:val="DefaultParagraphFont"/>
    <w:link w:val="FootnoteText"/>
    <w:uiPriority w:val="99"/>
    <w:rsid w:val="00DF6BEE"/>
    <w:rPr>
      <w:sz w:val="20"/>
      <w:szCs w:val="20"/>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fr,Ref"/>
    <w:basedOn w:val="DefaultParagraphFont"/>
    <w:link w:val="CharChar1CharCharCharChar1CharCharCharCharCharCharCharChar"/>
    <w:uiPriority w:val="99"/>
    <w:unhideWhenUsed/>
    <w:qFormat/>
    <w:rsid w:val="00DF6B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F6BEE"/>
    <w:pPr>
      <w:spacing w:line="240" w:lineRule="exact"/>
    </w:pPr>
    <w:rPr>
      <w:vertAlign w:val="superscript"/>
    </w:rPr>
  </w:style>
  <w:style w:type="paragraph" w:styleId="Caption">
    <w:name w:val="caption"/>
    <w:aliases w:val="Caption Char2,Caption Char1 Char,Caption Char Char Char1,Caption Char Char1,Caption Char Char Char Char,Caption Char Char Char,Caption1 Char,Caption1,Table title,Figure Head,Table,LVT Table Heading,WB Caption,AICD,quarterly chart caption"/>
    <w:basedOn w:val="Normal"/>
    <w:next w:val="Normal"/>
    <w:link w:val="CaptionChar"/>
    <w:uiPriority w:val="35"/>
    <w:unhideWhenUsed/>
    <w:qFormat/>
    <w:rsid w:val="008B6B6D"/>
    <w:pPr>
      <w:keepNext/>
      <w:keepLines/>
      <w:spacing w:after="40" w:line="240" w:lineRule="auto"/>
    </w:pPr>
    <w:rPr>
      <w:rFonts w:ascii="Bookman Old Style" w:hAnsi="Bookman Old Style"/>
      <w:b/>
      <w:bCs/>
      <w:color w:val="323E4F" w:themeColor="text2" w:themeShade="BF"/>
      <w:sz w:val="20"/>
      <w:szCs w:val="18"/>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Table Char"/>
    <w:basedOn w:val="DefaultParagraphFont"/>
    <w:link w:val="Caption"/>
    <w:uiPriority w:val="35"/>
    <w:locked/>
    <w:rsid w:val="008B6B6D"/>
    <w:rPr>
      <w:rFonts w:ascii="Bookman Old Style" w:hAnsi="Bookman Old Style"/>
      <w:b/>
      <w:bCs/>
      <w:color w:val="323E4F" w:themeColor="text2" w:themeShade="BF"/>
      <w:sz w:val="20"/>
      <w:szCs w:val="18"/>
    </w:rPr>
  </w:style>
  <w:style w:type="table" w:customStyle="1" w:styleId="TableGrid1">
    <w:name w:val="Table Grid1"/>
    <w:basedOn w:val="TableNormal"/>
    <w:next w:val="TableGrid"/>
    <w:uiPriority w:val="59"/>
    <w:rsid w:val="00B54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text">
    <w:name w:val="story-body-text"/>
    <w:basedOn w:val="Normal"/>
    <w:rsid w:val="00D7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758"/>
    <w:pPr>
      <w:autoSpaceDE w:val="0"/>
      <w:autoSpaceDN w:val="0"/>
      <w:adjustRightInd w:val="0"/>
      <w:spacing w:after="0" w:line="240" w:lineRule="auto"/>
    </w:pPr>
    <w:rPr>
      <w:rFonts w:ascii="Cambria" w:hAnsi="Cambria" w:cs="Cambria"/>
      <w:color w:val="000000"/>
      <w:sz w:val="24"/>
      <w:szCs w:val="24"/>
    </w:rPr>
  </w:style>
  <w:style w:type="paragraph" w:customStyle="1" w:styleId="Pa15">
    <w:name w:val="Pa15"/>
    <w:basedOn w:val="Default"/>
    <w:next w:val="Default"/>
    <w:uiPriority w:val="99"/>
    <w:rsid w:val="00E14758"/>
    <w:pPr>
      <w:spacing w:line="401" w:lineRule="atLeast"/>
    </w:pPr>
    <w:rPr>
      <w:rFonts w:ascii="Frutiger CE 45 Light" w:hAnsi="Frutiger CE 45 Light" w:cstheme="minorBidi"/>
      <w:color w:val="auto"/>
    </w:rPr>
  </w:style>
  <w:style w:type="paragraph" w:customStyle="1" w:styleId="Pa1">
    <w:name w:val="Pa1"/>
    <w:basedOn w:val="Default"/>
    <w:next w:val="Default"/>
    <w:uiPriority w:val="99"/>
    <w:rsid w:val="00E14758"/>
    <w:pPr>
      <w:spacing w:line="191" w:lineRule="atLeast"/>
    </w:pPr>
    <w:rPr>
      <w:rFonts w:ascii="Frutiger CE 45 Light" w:hAnsi="Frutiger CE 45 Light" w:cstheme="minorBidi"/>
      <w:color w:val="auto"/>
    </w:rPr>
  </w:style>
  <w:style w:type="character" w:customStyle="1" w:styleId="tgc">
    <w:name w:val="_tgc"/>
    <w:basedOn w:val="DefaultParagraphFont"/>
    <w:rsid w:val="00E14758"/>
  </w:style>
  <w:style w:type="paragraph" w:styleId="EndnoteText">
    <w:name w:val="endnote text"/>
    <w:basedOn w:val="Normal"/>
    <w:link w:val="EndnoteTextChar"/>
    <w:uiPriority w:val="99"/>
    <w:semiHidden/>
    <w:unhideWhenUsed/>
    <w:rsid w:val="00E14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58"/>
    <w:rPr>
      <w:sz w:val="20"/>
      <w:szCs w:val="20"/>
    </w:rPr>
  </w:style>
  <w:style w:type="character" w:styleId="EndnoteReference">
    <w:name w:val="endnote reference"/>
    <w:basedOn w:val="DefaultParagraphFont"/>
    <w:uiPriority w:val="99"/>
    <w:semiHidden/>
    <w:unhideWhenUsed/>
    <w:rsid w:val="00E14758"/>
    <w:rPr>
      <w:vertAlign w:val="superscript"/>
    </w:rPr>
  </w:style>
  <w:style w:type="character" w:customStyle="1" w:styleId="A4">
    <w:name w:val="A4"/>
    <w:uiPriority w:val="99"/>
    <w:rsid w:val="005B4AA7"/>
    <w:rPr>
      <w:rFonts w:cs="HelveticaNeueLT Pro 65 Md"/>
      <w:color w:val="000000"/>
      <w:sz w:val="20"/>
      <w:szCs w:val="20"/>
    </w:rPr>
  </w:style>
  <w:style w:type="character" w:styleId="IntenseReference">
    <w:name w:val="Intense Reference"/>
    <w:basedOn w:val="DefaultParagraphFont"/>
    <w:uiPriority w:val="32"/>
    <w:qFormat/>
    <w:rsid w:val="00C82D47"/>
    <w:rPr>
      <w:b/>
      <w:bCs/>
      <w:smallCaps/>
      <w:color w:val="4472C4" w:themeColor="accent1"/>
      <w:spacing w:val="5"/>
    </w:rPr>
  </w:style>
  <w:style w:type="paragraph" w:styleId="TOCHeading">
    <w:name w:val="TOC Heading"/>
    <w:basedOn w:val="Heading1"/>
    <w:next w:val="Normal"/>
    <w:uiPriority w:val="39"/>
    <w:unhideWhenUsed/>
    <w:qFormat/>
    <w:rsid w:val="00C82D47"/>
    <w:pPr>
      <w:spacing w:before="240"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C82D47"/>
    <w:pPr>
      <w:spacing w:after="100"/>
    </w:pPr>
  </w:style>
  <w:style w:type="character" w:styleId="Hyperlink">
    <w:name w:val="Hyperlink"/>
    <w:basedOn w:val="DefaultParagraphFont"/>
    <w:uiPriority w:val="99"/>
    <w:unhideWhenUsed/>
    <w:rsid w:val="00C82D47"/>
    <w:rPr>
      <w:color w:val="0563C1" w:themeColor="hyperlink"/>
      <w:u w:val="single"/>
    </w:rPr>
  </w:style>
  <w:style w:type="paragraph" w:styleId="TOC2">
    <w:name w:val="toc 2"/>
    <w:basedOn w:val="Normal"/>
    <w:next w:val="Normal"/>
    <w:autoRedefine/>
    <w:uiPriority w:val="39"/>
    <w:unhideWhenUsed/>
    <w:rsid w:val="00E84183"/>
    <w:pPr>
      <w:spacing w:after="100"/>
      <w:ind w:left="220"/>
    </w:pPr>
  </w:style>
  <w:style w:type="paragraph" w:styleId="TOC3">
    <w:name w:val="toc 3"/>
    <w:basedOn w:val="Normal"/>
    <w:next w:val="Normal"/>
    <w:autoRedefine/>
    <w:uiPriority w:val="39"/>
    <w:unhideWhenUsed/>
    <w:rsid w:val="00E84183"/>
    <w:pPr>
      <w:spacing w:after="100"/>
      <w:ind w:left="440"/>
    </w:pPr>
  </w:style>
  <w:style w:type="paragraph" w:styleId="TableofFigures">
    <w:name w:val="table of figures"/>
    <w:basedOn w:val="Normal"/>
    <w:next w:val="Normal"/>
    <w:uiPriority w:val="99"/>
    <w:unhideWhenUsed/>
    <w:rsid w:val="00E21D26"/>
    <w:pPr>
      <w:spacing w:after="0"/>
    </w:pPr>
  </w:style>
  <w:style w:type="paragraph" w:styleId="BalloonText">
    <w:name w:val="Balloon Text"/>
    <w:basedOn w:val="Normal"/>
    <w:link w:val="BalloonTextChar"/>
    <w:uiPriority w:val="99"/>
    <w:semiHidden/>
    <w:unhideWhenUsed/>
    <w:rsid w:val="007A0CC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0CCB"/>
    <w:rPr>
      <w:rFonts w:ascii="Segoe UI" w:eastAsia="Calibri" w:hAnsi="Segoe UI" w:cs="Segoe UI"/>
      <w:sz w:val="18"/>
      <w:szCs w:val="18"/>
    </w:rPr>
  </w:style>
  <w:style w:type="character" w:customStyle="1" w:styleId="Heading5Char">
    <w:name w:val="Heading 5 Char"/>
    <w:basedOn w:val="DefaultParagraphFont"/>
    <w:link w:val="Heading5"/>
    <w:uiPriority w:val="9"/>
    <w:semiHidden/>
    <w:rsid w:val="00C3324D"/>
    <w:rPr>
      <w:rFonts w:asciiTheme="majorHAnsi" w:eastAsiaTheme="majorEastAsia" w:hAnsiTheme="majorHAnsi" w:cstheme="majorBidi"/>
      <w:color w:val="2F5496" w:themeColor="accent1" w:themeShade="BF"/>
      <w:sz w:val="24"/>
      <w:szCs w:val="20"/>
    </w:rPr>
  </w:style>
  <w:style w:type="paragraph" w:customStyle="1" w:styleId="FSAheading1">
    <w:name w:val="FSAheading1"/>
    <w:basedOn w:val="Heading1"/>
    <w:link w:val="FSAheading1Char"/>
    <w:qFormat/>
    <w:rsid w:val="00C3324D"/>
    <w:pPr>
      <w:keepLines w:val="0"/>
      <w:numPr>
        <w:numId w:val="9"/>
      </w:numPr>
      <w:shd w:val="clear" w:color="auto" w:fill="auto"/>
      <w:spacing w:after="240" w:line="240" w:lineRule="auto"/>
    </w:pPr>
    <w:rPr>
      <w:rFonts w:ascii="Times New Roman" w:eastAsia="Times New Roman" w:hAnsi="Times New Roman" w:cs="Arial"/>
      <w:bCs/>
      <w:smallCaps/>
      <w:color w:val="2F5496" w:themeColor="accent1" w:themeShade="BF"/>
      <w:kern w:val="28"/>
      <w:sz w:val="24"/>
      <w:szCs w:val="32"/>
    </w:rPr>
  </w:style>
  <w:style w:type="character" w:customStyle="1" w:styleId="FSAheading1Char">
    <w:name w:val="FSAheading1 Char"/>
    <w:basedOn w:val="Heading1Char"/>
    <w:link w:val="FSAheading1"/>
    <w:rsid w:val="00C3324D"/>
    <w:rPr>
      <w:rFonts w:ascii="Times New Roman" w:eastAsia="Times New Roman" w:hAnsi="Times New Roman" w:cs="Arial"/>
      <w:b/>
      <w:bCs/>
      <w:smallCaps/>
      <w:color w:val="2F5496" w:themeColor="accent1" w:themeShade="BF"/>
      <w:kern w:val="28"/>
      <w:sz w:val="24"/>
      <w:szCs w:val="32"/>
      <w:shd w:val="clear" w:color="auto" w:fill="FFC000" w:themeFill="accent4"/>
    </w:rPr>
  </w:style>
  <w:style w:type="paragraph" w:customStyle="1" w:styleId="Fighead">
    <w:name w:val="Fighead"/>
    <w:basedOn w:val="Normal"/>
    <w:qFormat/>
    <w:rsid w:val="00C3324D"/>
    <w:pPr>
      <w:spacing w:after="0" w:line="240" w:lineRule="auto"/>
      <w:jc w:val="both"/>
    </w:pPr>
    <w:rPr>
      <w:rFonts w:ascii="Times New Roman" w:eastAsia="Times New Roman" w:hAnsi="Times New Roman"/>
      <w:b/>
      <w:sz w:val="24"/>
      <w:lang w:eastAsia="es-ES"/>
    </w:rPr>
  </w:style>
  <w:style w:type="character" w:styleId="CommentReference">
    <w:name w:val="annotation reference"/>
    <w:basedOn w:val="DefaultParagraphFont"/>
    <w:uiPriority w:val="99"/>
    <w:semiHidden/>
    <w:unhideWhenUsed/>
    <w:rsid w:val="00C3324D"/>
    <w:rPr>
      <w:sz w:val="16"/>
      <w:szCs w:val="16"/>
    </w:rPr>
  </w:style>
  <w:style w:type="paragraph" w:styleId="CommentText">
    <w:name w:val="annotation text"/>
    <w:basedOn w:val="Normal"/>
    <w:link w:val="CommentTextChar"/>
    <w:uiPriority w:val="99"/>
    <w:semiHidden/>
    <w:unhideWhenUsed/>
    <w:rsid w:val="00C33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2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332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324D"/>
    <w:rPr>
      <w:b/>
      <w:bCs/>
    </w:rPr>
  </w:style>
  <w:style w:type="paragraph" w:customStyle="1" w:styleId="FSAparagraph">
    <w:name w:val="FSAparagraph"/>
    <w:basedOn w:val="Normal"/>
    <w:link w:val="FSAparagraphChar"/>
    <w:qFormat/>
    <w:rsid w:val="00C3324D"/>
    <w:pPr>
      <w:numPr>
        <w:numId w:val="12"/>
      </w:numPr>
      <w:tabs>
        <w:tab w:val="clear" w:pos="720"/>
        <w:tab w:val="num" w:pos="360"/>
      </w:tabs>
      <w:spacing w:after="240" w:line="240" w:lineRule="auto"/>
    </w:pPr>
    <w:rPr>
      <w:rFonts w:ascii="Times New Roman" w:eastAsia="Times New Roman" w:hAnsi="Times New Roman" w:cs="Times New Roman"/>
      <w:sz w:val="24"/>
      <w:szCs w:val="20"/>
    </w:rPr>
  </w:style>
  <w:style w:type="character" w:customStyle="1" w:styleId="FSAparagraphChar">
    <w:name w:val="FSAparagraph Char"/>
    <w:basedOn w:val="DefaultParagraphFont"/>
    <w:link w:val="FSAparagraph"/>
    <w:rsid w:val="00C3324D"/>
    <w:rPr>
      <w:rFonts w:ascii="Times New Roman" w:eastAsia="Times New Roman" w:hAnsi="Times New Roman" w:cs="Times New Roman"/>
      <w:sz w:val="24"/>
      <w:szCs w:val="20"/>
    </w:rPr>
  </w:style>
  <w:style w:type="character" w:customStyle="1" w:styleId="ilfuvd">
    <w:name w:val="ilfuvd"/>
    <w:basedOn w:val="DefaultParagraphFont"/>
    <w:rsid w:val="00C3324D"/>
  </w:style>
  <w:style w:type="character" w:customStyle="1" w:styleId="st">
    <w:name w:val="st"/>
    <w:basedOn w:val="DefaultParagraphFont"/>
    <w:rsid w:val="00C3324D"/>
  </w:style>
  <w:style w:type="character" w:customStyle="1" w:styleId="ecb-footnote-toggle">
    <w:name w:val="ecb-footnote-toggle"/>
    <w:basedOn w:val="DefaultParagraphFont"/>
    <w:rsid w:val="001B59F0"/>
  </w:style>
  <w:style w:type="character" w:styleId="HTMLAcronym">
    <w:name w:val="HTML Acronym"/>
    <w:basedOn w:val="DefaultParagraphFont"/>
    <w:uiPriority w:val="99"/>
    <w:semiHidden/>
    <w:unhideWhenUsed/>
    <w:rsid w:val="00CC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09">
      <w:bodyDiv w:val="1"/>
      <w:marLeft w:val="0"/>
      <w:marRight w:val="0"/>
      <w:marTop w:val="0"/>
      <w:marBottom w:val="0"/>
      <w:divBdr>
        <w:top w:val="none" w:sz="0" w:space="0" w:color="auto"/>
        <w:left w:val="none" w:sz="0" w:space="0" w:color="auto"/>
        <w:bottom w:val="none" w:sz="0" w:space="0" w:color="auto"/>
        <w:right w:val="none" w:sz="0" w:space="0" w:color="auto"/>
      </w:divBdr>
      <w:divsChild>
        <w:div w:id="35667010">
          <w:marLeft w:val="0"/>
          <w:marRight w:val="0"/>
          <w:marTop w:val="0"/>
          <w:marBottom w:val="0"/>
          <w:divBdr>
            <w:top w:val="none" w:sz="0" w:space="0" w:color="auto"/>
            <w:left w:val="none" w:sz="0" w:space="0" w:color="auto"/>
            <w:bottom w:val="none" w:sz="0" w:space="0" w:color="auto"/>
            <w:right w:val="none" w:sz="0" w:space="0" w:color="auto"/>
          </w:divBdr>
        </w:div>
        <w:div w:id="114760892">
          <w:marLeft w:val="0"/>
          <w:marRight w:val="0"/>
          <w:marTop w:val="0"/>
          <w:marBottom w:val="0"/>
          <w:divBdr>
            <w:top w:val="none" w:sz="0" w:space="0" w:color="auto"/>
            <w:left w:val="none" w:sz="0" w:space="0" w:color="auto"/>
            <w:bottom w:val="none" w:sz="0" w:space="0" w:color="auto"/>
            <w:right w:val="none" w:sz="0" w:space="0" w:color="auto"/>
          </w:divBdr>
        </w:div>
        <w:div w:id="148598589">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307443555">
          <w:marLeft w:val="0"/>
          <w:marRight w:val="0"/>
          <w:marTop w:val="0"/>
          <w:marBottom w:val="0"/>
          <w:divBdr>
            <w:top w:val="none" w:sz="0" w:space="0" w:color="auto"/>
            <w:left w:val="none" w:sz="0" w:space="0" w:color="auto"/>
            <w:bottom w:val="none" w:sz="0" w:space="0" w:color="auto"/>
            <w:right w:val="none" w:sz="0" w:space="0" w:color="auto"/>
          </w:divBdr>
        </w:div>
        <w:div w:id="431513054">
          <w:marLeft w:val="0"/>
          <w:marRight w:val="0"/>
          <w:marTop w:val="0"/>
          <w:marBottom w:val="0"/>
          <w:divBdr>
            <w:top w:val="none" w:sz="0" w:space="0" w:color="auto"/>
            <w:left w:val="none" w:sz="0" w:space="0" w:color="auto"/>
            <w:bottom w:val="none" w:sz="0" w:space="0" w:color="auto"/>
            <w:right w:val="none" w:sz="0" w:space="0" w:color="auto"/>
          </w:divBdr>
        </w:div>
        <w:div w:id="673000491">
          <w:marLeft w:val="0"/>
          <w:marRight w:val="0"/>
          <w:marTop w:val="0"/>
          <w:marBottom w:val="0"/>
          <w:divBdr>
            <w:top w:val="none" w:sz="0" w:space="0" w:color="auto"/>
            <w:left w:val="none" w:sz="0" w:space="0" w:color="auto"/>
            <w:bottom w:val="none" w:sz="0" w:space="0" w:color="auto"/>
            <w:right w:val="none" w:sz="0" w:space="0" w:color="auto"/>
          </w:divBdr>
        </w:div>
        <w:div w:id="769472063">
          <w:marLeft w:val="0"/>
          <w:marRight w:val="0"/>
          <w:marTop w:val="0"/>
          <w:marBottom w:val="0"/>
          <w:divBdr>
            <w:top w:val="none" w:sz="0" w:space="0" w:color="auto"/>
            <w:left w:val="none" w:sz="0" w:space="0" w:color="auto"/>
            <w:bottom w:val="none" w:sz="0" w:space="0" w:color="auto"/>
            <w:right w:val="none" w:sz="0" w:space="0" w:color="auto"/>
          </w:divBdr>
        </w:div>
        <w:div w:id="835069322">
          <w:marLeft w:val="0"/>
          <w:marRight w:val="0"/>
          <w:marTop w:val="0"/>
          <w:marBottom w:val="0"/>
          <w:divBdr>
            <w:top w:val="none" w:sz="0" w:space="0" w:color="auto"/>
            <w:left w:val="none" w:sz="0" w:space="0" w:color="auto"/>
            <w:bottom w:val="none" w:sz="0" w:space="0" w:color="auto"/>
            <w:right w:val="none" w:sz="0" w:space="0" w:color="auto"/>
          </w:divBdr>
        </w:div>
        <w:div w:id="835463901">
          <w:marLeft w:val="0"/>
          <w:marRight w:val="0"/>
          <w:marTop w:val="0"/>
          <w:marBottom w:val="0"/>
          <w:divBdr>
            <w:top w:val="none" w:sz="0" w:space="0" w:color="auto"/>
            <w:left w:val="none" w:sz="0" w:space="0" w:color="auto"/>
            <w:bottom w:val="none" w:sz="0" w:space="0" w:color="auto"/>
            <w:right w:val="none" w:sz="0" w:space="0" w:color="auto"/>
          </w:divBdr>
        </w:div>
        <w:div w:id="844367892">
          <w:marLeft w:val="0"/>
          <w:marRight w:val="0"/>
          <w:marTop w:val="0"/>
          <w:marBottom w:val="0"/>
          <w:divBdr>
            <w:top w:val="none" w:sz="0" w:space="0" w:color="auto"/>
            <w:left w:val="none" w:sz="0" w:space="0" w:color="auto"/>
            <w:bottom w:val="none" w:sz="0" w:space="0" w:color="auto"/>
            <w:right w:val="none" w:sz="0" w:space="0" w:color="auto"/>
          </w:divBdr>
        </w:div>
        <w:div w:id="1075591323">
          <w:marLeft w:val="0"/>
          <w:marRight w:val="0"/>
          <w:marTop w:val="0"/>
          <w:marBottom w:val="0"/>
          <w:divBdr>
            <w:top w:val="none" w:sz="0" w:space="0" w:color="auto"/>
            <w:left w:val="none" w:sz="0" w:space="0" w:color="auto"/>
            <w:bottom w:val="none" w:sz="0" w:space="0" w:color="auto"/>
            <w:right w:val="none" w:sz="0" w:space="0" w:color="auto"/>
          </w:divBdr>
        </w:div>
        <w:div w:id="1105927944">
          <w:marLeft w:val="0"/>
          <w:marRight w:val="0"/>
          <w:marTop w:val="0"/>
          <w:marBottom w:val="0"/>
          <w:divBdr>
            <w:top w:val="none" w:sz="0" w:space="0" w:color="auto"/>
            <w:left w:val="none" w:sz="0" w:space="0" w:color="auto"/>
            <w:bottom w:val="none" w:sz="0" w:space="0" w:color="auto"/>
            <w:right w:val="none" w:sz="0" w:space="0" w:color="auto"/>
          </w:divBdr>
        </w:div>
        <w:div w:id="1156991565">
          <w:marLeft w:val="0"/>
          <w:marRight w:val="0"/>
          <w:marTop w:val="0"/>
          <w:marBottom w:val="0"/>
          <w:divBdr>
            <w:top w:val="none" w:sz="0" w:space="0" w:color="auto"/>
            <w:left w:val="none" w:sz="0" w:space="0" w:color="auto"/>
            <w:bottom w:val="none" w:sz="0" w:space="0" w:color="auto"/>
            <w:right w:val="none" w:sz="0" w:space="0" w:color="auto"/>
          </w:divBdr>
        </w:div>
        <w:div w:id="1303462326">
          <w:marLeft w:val="0"/>
          <w:marRight w:val="0"/>
          <w:marTop w:val="0"/>
          <w:marBottom w:val="0"/>
          <w:divBdr>
            <w:top w:val="none" w:sz="0" w:space="0" w:color="auto"/>
            <w:left w:val="none" w:sz="0" w:space="0" w:color="auto"/>
            <w:bottom w:val="none" w:sz="0" w:space="0" w:color="auto"/>
            <w:right w:val="none" w:sz="0" w:space="0" w:color="auto"/>
          </w:divBdr>
        </w:div>
        <w:div w:id="1345666781">
          <w:marLeft w:val="0"/>
          <w:marRight w:val="0"/>
          <w:marTop w:val="0"/>
          <w:marBottom w:val="0"/>
          <w:divBdr>
            <w:top w:val="none" w:sz="0" w:space="0" w:color="auto"/>
            <w:left w:val="none" w:sz="0" w:space="0" w:color="auto"/>
            <w:bottom w:val="none" w:sz="0" w:space="0" w:color="auto"/>
            <w:right w:val="none" w:sz="0" w:space="0" w:color="auto"/>
          </w:divBdr>
        </w:div>
        <w:div w:id="1352033099">
          <w:marLeft w:val="0"/>
          <w:marRight w:val="0"/>
          <w:marTop w:val="0"/>
          <w:marBottom w:val="0"/>
          <w:divBdr>
            <w:top w:val="none" w:sz="0" w:space="0" w:color="auto"/>
            <w:left w:val="none" w:sz="0" w:space="0" w:color="auto"/>
            <w:bottom w:val="none" w:sz="0" w:space="0" w:color="auto"/>
            <w:right w:val="none" w:sz="0" w:space="0" w:color="auto"/>
          </w:divBdr>
        </w:div>
        <w:div w:id="1477184893">
          <w:marLeft w:val="0"/>
          <w:marRight w:val="0"/>
          <w:marTop w:val="0"/>
          <w:marBottom w:val="0"/>
          <w:divBdr>
            <w:top w:val="none" w:sz="0" w:space="0" w:color="auto"/>
            <w:left w:val="none" w:sz="0" w:space="0" w:color="auto"/>
            <w:bottom w:val="none" w:sz="0" w:space="0" w:color="auto"/>
            <w:right w:val="none" w:sz="0" w:space="0" w:color="auto"/>
          </w:divBdr>
        </w:div>
        <w:div w:id="1525291543">
          <w:marLeft w:val="0"/>
          <w:marRight w:val="0"/>
          <w:marTop w:val="0"/>
          <w:marBottom w:val="0"/>
          <w:divBdr>
            <w:top w:val="none" w:sz="0" w:space="0" w:color="auto"/>
            <w:left w:val="none" w:sz="0" w:space="0" w:color="auto"/>
            <w:bottom w:val="none" w:sz="0" w:space="0" w:color="auto"/>
            <w:right w:val="none" w:sz="0" w:space="0" w:color="auto"/>
          </w:divBdr>
        </w:div>
        <w:div w:id="1557087444">
          <w:marLeft w:val="0"/>
          <w:marRight w:val="0"/>
          <w:marTop w:val="0"/>
          <w:marBottom w:val="0"/>
          <w:divBdr>
            <w:top w:val="none" w:sz="0" w:space="0" w:color="auto"/>
            <w:left w:val="none" w:sz="0" w:space="0" w:color="auto"/>
            <w:bottom w:val="none" w:sz="0" w:space="0" w:color="auto"/>
            <w:right w:val="none" w:sz="0" w:space="0" w:color="auto"/>
          </w:divBdr>
        </w:div>
        <w:div w:id="1902985619">
          <w:marLeft w:val="0"/>
          <w:marRight w:val="0"/>
          <w:marTop w:val="0"/>
          <w:marBottom w:val="0"/>
          <w:divBdr>
            <w:top w:val="none" w:sz="0" w:space="0" w:color="auto"/>
            <w:left w:val="none" w:sz="0" w:space="0" w:color="auto"/>
            <w:bottom w:val="none" w:sz="0" w:space="0" w:color="auto"/>
            <w:right w:val="none" w:sz="0" w:space="0" w:color="auto"/>
          </w:divBdr>
        </w:div>
        <w:div w:id="2005861682">
          <w:marLeft w:val="0"/>
          <w:marRight w:val="0"/>
          <w:marTop w:val="0"/>
          <w:marBottom w:val="0"/>
          <w:divBdr>
            <w:top w:val="none" w:sz="0" w:space="0" w:color="auto"/>
            <w:left w:val="none" w:sz="0" w:space="0" w:color="auto"/>
            <w:bottom w:val="none" w:sz="0" w:space="0" w:color="auto"/>
            <w:right w:val="none" w:sz="0" w:space="0" w:color="auto"/>
          </w:divBdr>
        </w:div>
        <w:div w:id="2055881061">
          <w:marLeft w:val="0"/>
          <w:marRight w:val="0"/>
          <w:marTop w:val="0"/>
          <w:marBottom w:val="0"/>
          <w:divBdr>
            <w:top w:val="none" w:sz="0" w:space="0" w:color="auto"/>
            <w:left w:val="none" w:sz="0" w:space="0" w:color="auto"/>
            <w:bottom w:val="none" w:sz="0" w:space="0" w:color="auto"/>
            <w:right w:val="none" w:sz="0" w:space="0" w:color="auto"/>
          </w:divBdr>
        </w:div>
        <w:div w:id="2070028548">
          <w:marLeft w:val="0"/>
          <w:marRight w:val="0"/>
          <w:marTop w:val="0"/>
          <w:marBottom w:val="0"/>
          <w:divBdr>
            <w:top w:val="none" w:sz="0" w:space="0" w:color="auto"/>
            <w:left w:val="none" w:sz="0" w:space="0" w:color="auto"/>
            <w:bottom w:val="none" w:sz="0" w:space="0" w:color="auto"/>
            <w:right w:val="none" w:sz="0" w:space="0" w:color="auto"/>
          </w:divBdr>
        </w:div>
      </w:divsChild>
    </w:div>
    <w:div w:id="208693296">
      <w:bodyDiv w:val="1"/>
      <w:marLeft w:val="0"/>
      <w:marRight w:val="0"/>
      <w:marTop w:val="0"/>
      <w:marBottom w:val="0"/>
      <w:divBdr>
        <w:top w:val="none" w:sz="0" w:space="0" w:color="auto"/>
        <w:left w:val="none" w:sz="0" w:space="0" w:color="auto"/>
        <w:bottom w:val="none" w:sz="0" w:space="0" w:color="auto"/>
        <w:right w:val="none" w:sz="0" w:space="0" w:color="auto"/>
      </w:divBdr>
    </w:div>
    <w:div w:id="245963122">
      <w:bodyDiv w:val="1"/>
      <w:marLeft w:val="0"/>
      <w:marRight w:val="0"/>
      <w:marTop w:val="0"/>
      <w:marBottom w:val="0"/>
      <w:divBdr>
        <w:top w:val="none" w:sz="0" w:space="0" w:color="auto"/>
        <w:left w:val="none" w:sz="0" w:space="0" w:color="auto"/>
        <w:bottom w:val="none" w:sz="0" w:space="0" w:color="auto"/>
        <w:right w:val="none" w:sz="0" w:space="0" w:color="auto"/>
      </w:divBdr>
    </w:div>
    <w:div w:id="267741871">
      <w:bodyDiv w:val="1"/>
      <w:marLeft w:val="0"/>
      <w:marRight w:val="0"/>
      <w:marTop w:val="0"/>
      <w:marBottom w:val="0"/>
      <w:divBdr>
        <w:top w:val="none" w:sz="0" w:space="0" w:color="auto"/>
        <w:left w:val="none" w:sz="0" w:space="0" w:color="auto"/>
        <w:bottom w:val="none" w:sz="0" w:space="0" w:color="auto"/>
        <w:right w:val="none" w:sz="0" w:space="0" w:color="auto"/>
      </w:divBdr>
    </w:div>
    <w:div w:id="271715416">
      <w:bodyDiv w:val="1"/>
      <w:marLeft w:val="0"/>
      <w:marRight w:val="0"/>
      <w:marTop w:val="0"/>
      <w:marBottom w:val="0"/>
      <w:divBdr>
        <w:top w:val="none" w:sz="0" w:space="0" w:color="auto"/>
        <w:left w:val="none" w:sz="0" w:space="0" w:color="auto"/>
        <w:bottom w:val="none" w:sz="0" w:space="0" w:color="auto"/>
        <w:right w:val="none" w:sz="0" w:space="0" w:color="auto"/>
      </w:divBdr>
    </w:div>
    <w:div w:id="427431305">
      <w:bodyDiv w:val="1"/>
      <w:marLeft w:val="0"/>
      <w:marRight w:val="0"/>
      <w:marTop w:val="0"/>
      <w:marBottom w:val="0"/>
      <w:divBdr>
        <w:top w:val="none" w:sz="0" w:space="0" w:color="auto"/>
        <w:left w:val="none" w:sz="0" w:space="0" w:color="auto"/>
        <w:bottom w:val="none" w:sz="0" w:space="0" w:color="auto"/>
        <w:right w:val="none" w:sz="0" w:space="0" w:color="auto"/>
      </w:divBdr>
    </w:div>
    <w:div w:id="514077033">
      <w:bodyDiv w:val="1"/>
      <w:marLeft w:val="0"/>
      <w:marRight w:val="0"/>
      <w:marTop w:val="0"/>
      <w:marBottom w:val="0"/>
      <w:divBdr>
        <w:top w:val="none" w:sz="0" w:space="0" w:color="auto"/>
        <w:left w:val="none" w:sz="0" w:space="0" w:color="auto"/>
        <w:bottom w:val="none" w:sz="0" w:space="0" w:color="auto"/>
        <w:right w:val="none" w:sz="0" w:space="0" w:color="auto"/>
      </w:divBdr>
    </w:div>
    <w:div w:id="563026055">
      <w:bodyDiv w:val="1"/>
      <w:marLeft w:val="0"/>
      <w:marRight w:val="0"/>
      <w:marTop w:val="0"/>
      <w:marBottom w:val="0"/>
      <w:divBdr>
        <w:top w:val="none" w:sz="0" w:space="0" w:color="auto"/>
        <w:left w:val="none" w:sz="0" w:space="0" w:color="auto"/>
        <w:bottom w:val="none" w:sz="0" w:space="0" w:color="auto"/>
        <w:right w:val="none" w:sz="0" w:space="0" w:color="auto"/>
      </w:divBdr>
    </w:div>
    <w:div w:id="723870071">
      <w:bodyDiv w:val="1"/>
      <w:marLeft w:val="0"/>
      <w:marRight w:val="0"/>
      <w:marTop w:val="0"/>
      <w:marBottom w:val="0"/>
      <w:divBdr>
        <w:top w:val="none" w:sz="0" w:space="0" w:color="auto"/>
        <w:left w:val="none" w:sz="0" w:space="0" w:color="auto"/>
        <w:bottom w:val="none" w:sz="0" w:space="0" w:color="auto"/>
        <w:right w:val="none" w:sz="0" w:space="0" w:color="auto"/>
      </w:divBdr>
      <w:divsChild>
        <w:div w:id="993991893">
          <w:marLeft w:val="187"/>
          <w:marRight w:val="0"/>
          <w:marTop w:val="0"/>
          <w:marBottom w:val="0"/>
          <w:divBdr>
            <w:top w:val="none" w:sz="0" w:space="0" w:color="auto"/>
            <w:left w:val="none" w:sz="0" w:space="0" w:color="auto"/>
            <w:bottom w:val="none" w:sz="0" w:space="0" w:color="auto"/>
            <w:right w:val="none" w:sz="0" w:space="0" w:color="auto"/>
          </w:divBdr>
        </w:div>
      </w:divsChild>
    </w:div>
    <w:div w:id="9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218665670">
          <w:marLeft w:val="0"/>
          <w:marRight w:val="0"/>
          <w:marTop w:val="0"/>
          <w:marBottom w:val="0"/>
          <w:divBdr>
            <w:top w:val="none" w:sz="0" w:space="0" w:color="auto"/>
            <w:left w:val="none" w:sz="0" w:space="0" w:color="auto"/>
            <w:bottom w:val="none" w:sz="0" w:space="0" w:color="auto"/>
            <w:right w:val="none" w:sz="0" w:space="0" w:color="auto"/>
          </w:divBdr>
          <w:divsChild>
            <w:div w:id="732773562">
              <w:marLeft w:val="0"/>
              <w:marRight w:val="0"/>
              <w:marTop w:val="0"/>
              <w:marBottom w:val="0"/>
              <w:divBdr>
                <w:top w:val="none" w:sz="0" w:space="0" w:color="auto"/>
                <w:left w:val="none" w:sz="0" w:space="0" w:color="auto"/>
                <w:bottom w:val="none" w:sz="0" w:space="0" w:color="auto"/>
                <w:right w:val="none" w:sz="0" w:space="0" w:color="auto"/>
              </w:divBdr>
              <w:divsChild>
                <w:div w:id="1303001854">
                  <w:marLeft w:val="0"/>
                  <w:marRight w:val="0"/>
                  <w:marTop w:val="0"/>
                  <w:marBottom w:val="0"/>
                  <w:divBdr>
                    <w:top w:val="none" w:sz="0" w:space="0" w:color="auto"/>
                    <w:left w:val="none" w:sz="0" w:space="0" w:color="auto"/>
                    <w:bottom w:val="none" w:sz="0" w:space="0" w:color="auto"/>
                    <w:right w:val="none" w:sz="0" w:space="0" w:color="auto"/>
                  </w:divBdr>
                  <w:divsChild>
                    <w:div w:id="1309895319">
                      <w:marLeft w:val="0"/>
                      <w:marRight w:val="0"/>
                      <w:marTop w:val="0"/>
                      <w:marBottom w:val="0"/>
                      <w:divBdr>
                        <w:top w:val="none" w:sz="0" w:space="0" w:color="auto"/>
                        <w:left w:val="none" w:sz="0" w:space="0" w:color="auto"/>
                        <w:bottom w:val="none" w:sz="0" w:space="0" w:color="auto"/>
                        <w:right w:val="none" w:sz="0" w:space="0" w:color="auto"/>
                      </w:divBdr>
                      <w:divsChild>
                        <w:div w:id="1642463701">
                          <w:marLeft w:val="0"/>
                          <w:marRight w:val="0"/>
                          <w:marTop w:val="0"/>
                          <w:marBottom w:val="0"/>
                          <w:divBdr>
                            <w:top w:val="none" w:sz="0" w:space="0" w:color="auto"/>
                            <w:left w:val="none" w:sz="0" w:space="0" w:color="auto"/>
                            <w:bottom w:val="none" w:sz="0" w:space="0" w:color="auto"/>
                            <w:right w:val="none" w:sz="0" w:space="0" w:color="auto"/>
                          </w:divBdr>
                          <w:divsChild>
                            <w:div w:id="1983535840">
                              <w:marLeft w:val="0"/>
                              <w:marRight w:val="0"/>
                              <w:marTop w:val="0"/>
                              <w:marBottom w:val="0"/>
                              <w:divBdr>
                                <w:top w:val="none" w:sz="0" w:space="0" w:color="auto"/>
                                <w:left w:val="none" w:sz="0" w:space="0" w:color="auto"/>
                                <w:bottom w:val="none" w:sz="0" w:space="0" w:color="auto"/>
                                <w:right w:val="none" w:sz="0" w:space="0" w:color="auto"/>
                              </w:divBdr>
                              <w:divsChild>
                                <w:div w:id="946275995">
                                  <w:marLeft w:val="0"/>
                                  <w:marRight w:val="0"/>
                                  <w:marTop w:val="0"/>
                                  <w:marBottom w:val="0"/>
                                  <w:divBdr>
                                    <w:top w:val="none" w:sz="0" w:space="0" w:color="auto"/>
                                    <w:left w:val="none" w:sz="0" w:space="0" w:color="auto"/>
                                    <w:bottom w:val="none" w:sz="0" w:space="0" w:color="auto"/>
                                    <w:right w:val="none" w:sz="0" w:space="0" w:color="auto"/>
                                  </w:divBdr>
                                  <w:divsChild>
                                    <w:div w:id="519244332">
                                      <w:marLeft w:val="0"/>
                                      <w:marRight w:val="0"/>
                                      <w:marTop w:val="0"/>
                                      <w:marBottom w:val="0"/>
                                      <w:divBdr>
                                        <w:top w:val="none" w:sz="0" w:space="0" w:color="auto"/>
                                        <w:left w:val="none" w:sz="0" w:space="0" w:color="auto"/>
                                        <w:bottom w:val="none" w:sz="0" w:space="0" w:color="auto"/>
                                        <w:right w:val="none" w:sz="0" w:space="0" w:color="auto"/>
                                      </w:divBdr>
                                      <w:divsChild>
                                        <w:div w:id="1910143192">
                                          <w:marLeft w:val="0"/>
                                          <w:marRight w:val="0"/>
                                          <w:marTop w:val="0"/>
                                          <w:marBottom w:val="0"/>
                                          <w:divBdr>
                                            <w:top w:val="none" w:sz="0" w:space="0" w:color="auto"/>
                                            <w:left w:val="none" w:sz="0" w:space="0" w:color="auto"/>
                                            <w:bottom w:val="none" w:sz="0" w:space="0" w:color="auto"/>
                                            <w:right w:val="none" w:sz="0" w:space="0" w:color="auto"/>
                                          </w:divBdr>
                                          <w:divsChild>
                                            <w:div w:id="1088773239">
                                              <w:marLeft w:val="0"/>
                                              <w:marRight w:val="0"/>
                                              <w:marTop w:val="0"/>
                                              <w:marBottom w:val="0"/>
                                              <w:divBdr>
                                                <w:top w:val="none" w:sz="0" w:space="0" w:color="auto"/>
                                                <w:left w:val="none" w:sz="0" w:space="0" w:color="auto"/>
                                                <w:bottom w:val="none" w:sz="0" w:space="0" w:color="auto"/>
                                                <w:right w:val="none" w:sz="0" w:space="0" w:color="auto"/>
                                              </w:divBdr>
                                              <w:divsChild>
                                                <w:div w:id="858272570">
                                                  <w:marLeft w:val="0"/>
                                                  <w:marRight w:val="0"/>
                                                  <w:marTop w:val="0"/>
                                                  <w:marBottom w:val="0"/>
                                                  <w:divBdr>
                                                    <w:top w:val="none" w:sz="0" w:space="0" w:color="auto"/>
                                                    <w:left w:val="none" w:sz="0" w:space="0" w:color="auto"/>
                                                    <w:bottom w:val="none" w:sz="0" w:space="0" w:color="auto"/>
                                                    <w:right w:val="none" w:sz="0" w:space="0" w:color="auto"/>
                                                  </w:divBdr>
                                                  <w:divsChild>
                                                    <w:div w:id="93524654">
                                                      <w:marLeft w:val="0"/>
                                                      <w:marRight w:val="0"/>
                                                      <w:marTop w:val="0"/>
                                                      <w:marBottom w:val="0"/>
                                                      <w:divBdr>
                                                        <w:top w:val="none" w:sz="0" w:space="0" w:color="auto"/>
                                                        <w:left w:val="none" w:sz="0" w:space="0" w:color="auto"/>
                                                        <w:bottom w:val="none" w:sz="0" w:space="0" w:color="auto"/>
                                                        <w:right w:val="none" w:sz="0" w:space="0" w:color="auto"/>
                                                      </w:divBdr>
                                                      <w:divsChild>
                                                        <w:div w:id="1408531655">
                                                          <w:marLeft w:val="0"/>
                                                          <w:marRight w:val="0"/>
                                                          <w:marTop w:val="0"/>
                                                          <w:marBottom w:val="0"/>
                                                          <w:divBdr>
                                                            <w:top w:val="none" w:sz="0" w:space="0" w:color="auto"/>
                                                            <w:left w:val="none" w:sz="0" w:space="0" w:color="auto"/>
                                                            <w:bottom w:val="none" w:sz="0" w:space="0" w:color="auto"/>
                                                            <w:right w:val="none" w:sz="0" w:space="0" w:color="auto"/>
                                                          </w:divBdr>
                                                          <w:divsChild>
                                                            <w:div w:id="2145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85843">
      <w:bodyDiv w:val="1"/>
      <w:marLeft w:val="0"/>
      <w:marRight w:val="0"/>
      <w:marTop w:val="0"/>
      <w:marBottom w:val="0"/>
      <w:divBdr>
        <w:top w:val="none" w:sz="0" w:space="0" w:color="auto"/>
        <w:left w:val="none" w:sz="0" w:space="0" w:color="auto"/>
        <w:bottom w:val="none" w:sz="0" w:space="0" w:color="auto"/>
        <w:right w:val="none" w:sz="0" w:space="0" w:color="auto"/>
      </w:divBdr>
    </w:div>
    <w:div w:id="1235047430">
      <w:bodyDiv w:val="1"/>
      <w:marLeft w:val="0"/>
      <w:marRight w:val="0"/>
      <w:marTop w:val="0"/>
      <w:marBottom w:val="0"/>
      <w:divBdr>
        <w:top w:val="none" w:sz="0" w:space="0" w:color="auto"/>
        <w:left w:val="none" w:sz="0" w:space="0" w:color="auto"/>
        <w:bottom w:val="none" w:sz="0" w:space="0" w:color="auto"/>
        <w:right w:val="none" w:sz="0" w:space="0" w:color="auto"/>
      </w:divBdr>
    </w:div>
    <w:div w:id="1249313804">
      <w:bodyDiv w:val="1"/>
      <w:marLeft w:val="0"/>
      <w:marRight w:val="0"/>
      <w:marTop w:val="0"/>
      <w:marBottom w:val="0"/>
      <w:divBdr>
        <w:top w:val="none" w:sz="0" w:space="0" w:color="auto"/>
        <w:left w:val="none" w:sz="0" w:space="0" w:color="auto"/>
        <w:bottom w:val="none" w:sz="0" w:space="0" w:color="auto"/>
        <w:right w:val="none" w:sz="0" w:space="0" w:color="auto"/>
      </w:divBdr>
    </w:div>
    <w:div w:id="1276401375">
      <w:bodyDiv w:val="1"/>
      <w:marLeft w:val="0"/>
      <w:marRight w:val="0"/>
      <w:marTop w:val="0"/>
      <w:marBottom w:val="0"/>
      <w:divBdr>
        <w:top w:val="none" w:sz="0" w:space="0" w:color="auto"/>
        <w:left w:val="none" w:sz="0" w:space="0" w:color="auto"/>
        <w:bottom w:val="none" w:sz="0" w:space="0" w:color="auto"/>
        <w:right w:val="none" w:sz="0" w:space="0" w:color="auto"/>
      </w:divBdr>
    </w:div>
    <w:div w:id="1299068244">
      <w:bodyDiv w:val="1"/>
      <w:marLeft w:val="0"/>
      <w:marRight w:val="0"/>
      <w:marTop w:val="0"/>
      <w:marBottom w:val="0"/>
      <w:divBdr>
        <w:top w:val="none" w:sz="0" w:space="0" w:color="auto"/>
        <w:left w:val="none" w:sz="0" w:space="0" w:color="auto"/>
        <w:bottom w:val="none" w:sz="0" w:space="0" w:color="auto"/>
        <w:right w:val="none" w:sz="0" w:space="0" w:color="auto"/>
      </w:divBdr>
    </w:div>
    <w:div w:id="1308702005">
      <w:bodyDiv w:val="1"/>
      <w:marLeft w:val="0"/>
      <w:marRight w:val="0"/>
      <w:marTop w:val="0"/>
      <w:marBottom w:val="0"/>
      <w:divBdr>
        <w:top w:val="none" w:sz="0" w:space="0" w:color="auto"/>
        <w:left w:val="none" w:sz="0" w:space="0" w:color="auto"/>
        <w:bottom w:val="none" w:sz="0" w:space="0" w:color="auto"/>
        <w:right w:val="none" w:sz="0" w:space="0" w:color="auto"/>
      </w:divBdr>
    </w:div>
    <w:div w:id="1313174863">
      <w:bodyDiv w:val="1"/>
      <w:marLeft w:val="0"/>
      <w:marRight w:val="0"/>
      <w:marTop w:val="0"/>
      <w:marBottom w:val="0"/>
      <w:divBdr>
        <w:top w:val="none" w:sz="0" w:space="0" w:color="auto"/>
        <w:left w:val="none" w:sz="0" w:space="0" w:color="auto"/>
        <w:bottom w:val="none" w:sz="0" w:space="0" w:color="auto"/>
        <w:right w:val="none" w:sz="0" w:space="0" w:color="auto"/>
      </w:divBdr>
    </w:div>
    <w:div w:id="1394422759">
      <w:bodyDiv w:val="1"/>
      <w:marLeft w:val="0"/>
      <w:marRight w:val="0"/>
      <w:marTop w:val="0"/>
      <w:marBottom w:val="0"/>
      <w:divBdr>
        <w:top w:val="none" w:sz="0" w:space="0" w:color="auto"/>
        <w:left w:val="none" w:sz="0" w:space="0" w:color="auto"/>
        <w:bottom w:val="none" w:sz="0" w:space="0" w:color="auto"/>
        <w:right w:val="none" w:sz="0" w:space="0" w:color="auto"/>
      </w:divBdr>
    </w:div>
    <w:div w:id="1489589151">
      <w:bodyDiv w:val="1"/>
      <w:marLeft w:val="0"/>
      <w:marRight w:val="0"/>
      <w:marTop w:val="0"/>
      <w:marBottom w:val="0"/>
      <w:divBdr>
        <w:top w:val="none" w:sz="0" w:space="0" w:color="auto"/>
        <w:left w:val="none" w:sz="0" w:space="0" w:color="auto"/>
        <w:bottom w:val="none" w:sz="0" w:space="0" w:color="auto"/>
        <w:right w:val="none" w:sz="0" w:space="0" w:color="auto"/>
      </w:divBdr>
    </w:div>
    <w:div w:id="1552113942">
      <w:bodyDiv w:val="1"/>
      <w:marLeft w:val="0"/>
      <w:marRight w:val="0"/>
      <w:marTop w:val="0"/>
      <w:marBottom w:val="0"/>
      <w:divBdr>
        <w:top w:val="none" w:sz="0" w:space="0" w:color="auto"/>
        <w:left w:val="none" w:sz="0" w:space="0" w:color="auto"/>
        <w:bottom w:val="none" w:sz="0" w:space="0" w:color="auto"/>
        <w:right w:val="none" w:sz="0" w:space="0" w:color="auto"/>
      </w:divBdr>
      <w:divsChild>
        <w:div w:id="761686396">
          <w:marLeft w:val="0"/>
          <w:marRight w:val="0"/>
          <w:marTop w:val="0"/>
          <w:marBottom w:val="0"/>
          <w:divBdr>
            <w:top w:val="none" w:sz="0" w:space="0" w:color="auto"/>
            <w:left w:val="none" w:sz="0" w:space="0" w:color="auto"/>
            <w:bottom w:val="none" w:sz="0" w:space="0" w:color="auto"/>
            <w:right w:val="none" w:sz="0" w:space="0" w:color="auto"/>
          </w:divBdr>
        </w:div>
        <w:div w:id="1801655459">
          <w:marLeft w:val="0"/>
          <w:marRight w:val="0"/>
          <w:marTop w:val="0"/>
          <w:marBottom w:val="0"/>
          <w:divBdr>
            <w:top w:val="none" w:sz="0" w:space="0" w:color="auto"/>
            <w:left w:val="none" w:sz="0" w:space="0" w:color="auto"/>
            <w:bottom w:val="none" w:sz="0" w:space="0" w:color="auto"/>
            <w:right w:val="none" w:sz="0" w:space="0" w:color="auto"/>
          </w:divBdr>
        </w:div>
        <w:div w:id="1866017240">
          <w:marLeft w:val="0"/>
          <w:marRight w:val="0"/>
          <w:marTop w:val="0"/>
          <w:marBottom w:val="0"/>
          <w:divBdr>
            <w:top w:val="none" w:sz="0" w:space="0" w:color="auto"/>
            <w:left w:val="none" w:sz="0" w:space="0" w:color="auto"/>
            <w:bottom w:val="none" w:sz="0" w:space="0" w:color="auto"/>
            <w:right w:val="none" w:sz="0" w:space="0" w:color="auto"/>
          </w:divBdr>
        </w:div>
      </w:divsChild>
    </w:div>
    <w:div w:id="1602645671">
      <w:bodyDiv w:val="1"/>
      <w:marLeft w:val="0"/>
      <w:marRight w:val="0"/>
      <w:marTop w:val="0"/>
      <w:marBottom w:val="0"/>
      <w:divBdr>
        <w:top w:val="none" w:sz="0" w:space="0" w:color="auto"/>
        <w:left w:val="none" w:sz="0" w:space="0" w:color="auto"/>
        <w:bottom w:val="none" w:sz="0" w:space="0" w:color="auto"/>
        <w:right w:val="none" w:sz="0" w:space="0" w:color="auto"/>
      </w:divBdr>
    </w:div>
    <w:div w:id="1635021686">
      <w:bodyDiv w:val="1"/>
      <w:marLeft w:val="0"/>
      <w:marRight w:val="0"/>
      <w:marTop w:val="0"/>
      <w:marBottom w:val="0"/>
      <w:divBdr>
        <w:top w:val="none" w:sz="0" w:space="0" w:color="auto"/>
        <w:left w:val="none" w:sz="0" w:space="0" w:color="auto"/>
        <w:bottom w:val="none" w:sz="0" w:space="0" w:color="auto"/>
        <w:right w:val="none" w:sz="0" w:space="0" w:color="auto"/>
      </w:divBdr>
    </w:div>
    <w:div w:id="1730959884">
      <w:bodyDiv w:val="1"/>
      <w:marLeft w:val="0"/>
      <w:marRight w:val="0"/>
      <w:marTop w:val="0"/>
      <w:marBottom w:val="0"/>
      <w:divBdr>
        <w:top w:val="none" w:sz="0" w:space="0" w:color="auto"/>
        <w:left w:val="none" w:sz="0" w:space="0" w:color="auto"/>
        <w:bottom w:val="none" w:sz="0" w:space="0" w:color="auto"/>
        <w:right w:val="none" w:sz="0" w:space="0" w:color="auto"/>
      </w:divBdr>
    </w:div>
    <w:div w:id="20167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0.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BentonSans Book" panose="02000503040000020004" pitchFamily="50" charset="0"/>
                <a:ea typeface="+mn-ea"/>
                <a:cs typeface="+mn-cs"/>
              </a:defRPr>
            </a:pPr>
            <a:r>
              <a:rPr lang="en-US" sz="1200" b="1">
                <a:solidFill>
                  <a:sysClr val="windowText" lastClr="000000"/>
                </a:solidFill>
              </a:rPr>
              <a:t>New Loans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barChart>
        <c:barDir val="col"/>
        <c:grouping val="clustered"/>
        <c:varyColors val="0"/>
        <c:ser>
          <c:idx val="0"/>
          <c:order val="0"/>
          <c:tx>
            <c:strRef>
              <c:f>Sheet1!$B$6</c:f>
              <c:strCache>
                <c:ptCount val="1"/>
                <c:pt idx="0">
                  <c:v>New Loans (LA)</c:v>
                </c:pt>
              </c:strCache>
            </c:strRef>
          </c:tx>
          <c:spPr>
            <a:solidFill>
              <a:srgbClr val="FFC000">
                <a:lumMod val="60000"/>
                <a:lumOff val="40000"/>
              </a:srgbClr>
            </a:solidFill>
            <a:ln>
              <a:noFill/>
            </a:ln>
            <a:effectLst/>
          </c:spPr>
          <c:invertIfNegative val="0"/>
          <c:dLbls>
            <c:dLbl>
              <c:idx val="4"/>
              <c:layout>
                <c:manualLayout>
                  <c:x val="-2.7777777777778798E-3"/>
                  <c:y val="-1.388888888888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9D-4AAA-A2D1-8BB7A78D31B4}"/>
                </c:ext>
              </c:extLst>
            </c:dLbl>
            <c:spPr>
              <a:noFill/>
              <a:ln>
                <a:solidFill>
                  <a:schemeClr val="tx1"/>
                </a:solidFill>
              </a:ln>
              <a:effectLst/>
            </c:spPr>
            <c:txPr>
              <a:bodyPr rot="0" spcFirstLastPara="1" vertOverflow="ellipsis" vert="horz" wrap="square" anchor="ctr" anchorCtr="1"/>
              <a:lstStyle/>
              <a:p>
                <a:pPr>
                  <a:defRPr sz="900" b="0" i="0" u="none" strike="noStrike" kern="1200" baseline="0">
                    <a:solidFill>
                      <a:srgbClr val="C00000"/>
                    </a:solidFill>
                    <a:latin typeface="BentonSans Book" panose="02000503040000020004"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Sheet1!$C$5:$G$5</c:f>
              <c:numCache>
                <c:formatCode>mmm\-yy</c:formatCode>
                <c:ptCount val="5"/>
                <c:pt idx="0">
                  <c:v>42248</c:v>
                </c:pt>
                <c:pt idx="1">
                  <c:v>42614</c:v>
                </c:pt>
                <c:pt idx="2">
                  <c:v>42979</c:v>
                </c:pt>
                <c:pt idx="3">
                  <c:v>43344</c:v>
                </c:pt>
                <c:pt idx="4">
                  <c:v>43709</c:v>
                </c:pt>
              </c:numCache>
            </c:numRef>
          </c:cat>
          <c:val>
            <c:numRef>
              <c:f>Sheet1!$C$6:$G$6</c:f>
              <c:numCache>
                <c:formatCode>_(* #,##0_);_(* \(#,##0\);_(* "-"??_);_(@_)</c:formatCode>
                <c:ptCount val="5"/>
                <c:pt idx="0">
                  <c:v>527.45926300000008</c:v>
                </c:pt>
                <c:pt idx="1">
                  <c:v>576.25470534999999</c:v>
                </c:pt>
                <c:pt idx="2">
                  <c:v>609.15706624999996</c:v>
                </c:pt>
                <c:pt idx="3">
                  <c:v>610.75555149999991</c:v>
                </c:pt>
                <c:pt idx="4">
                  <c:v>861.87832821666655</c:v>
                </c:pt>
              </c:numCache>
            </c:numRef>
          </c:val>
          <c:extLst>
            <c:ext xmlns:c16="http://schemas.microsoft.com/office/drawing/2014/chart" uri="{C3380CC4-5D6E-409C-BE32-E72D297353CC}">
              <c16:uniqueId val="{00000001-E79D-4AAA-A2D1-8BB7A78D31B4}"/>
            </c:ext>
          </c:extLst>
        </c:ser>
        <c:dLbls>
          <c:showLegendKey val="0"/>
          <c:showVal val="0"/>
          <c:showCatName val="0"/>
          <c:showSerName val="0"/>
          <c:showPercent val="0"/>
          <c:showBubbleSize val="0"/>
        </c:dLbls>
        <c:gapWidth val="150"/>
        <c:axId val="631732975"/>
        <c:axId val="631720911"/>
      </c:barChart>
      <c:lineChart>
        <c:grouping val="standard"/>
        <c:varyColors val="0"/>
        <c:ser>
          <c:idx val="1"/>
          <c:order val="1"/>
          <c:tx>
            <c:strRef>
              <c:f>Sheet1!$B$7</c:f>
              <c:strCache>
                <c:ptCount val="1"/>
                <c:pt idx="0">
                  <c:v>Growth (RA)</c:v>
                </c:pt>
              </c:strCache>
            </c:strRef>
          </c:tx>
          <c:spPr>
            <a:ln w="19050" cap="rnd">
              <a:solidFill>
                <a:srgbClr val="4472C4">
                  <a:lumMod val="75000"/>
                </a:srgbClr>
              </a:solidFill>
              <a:round/>
            </a:ln>
            <a:effectLst/>
          </c:spPr>
          <c:marker>
            <c:symbol val="none"/>
          </c:marker>
          <c:dLbls>
            <c:dLbl>
              <c:idx val="4"/>
              <c:layout>
                <c:manualLayout>
                  <c:x val="-2.631955380577438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9D-4AAA-A2D1-8BB7A78D31B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Sheet1!$C$5:$G$5</c:f>
              <c:numCache>
                <c:formatCode>mmm\-yy</c:formatCode>
                <c:ptCount val="5"/>
                <c:pt idx="0">
                  <c:v>42248</c:v>
                </c:pt>
                <c:pt idx="1">
                  <c:v>42614</c:v>
                </c:pt>
                <c:pt idx="2">
                  <c:v>42979</c:v>
                </c:pt>
                <c:pt idx="3">
                  <c:v>43344</c:v>
                </c:pt>
                <c:pt idx="4">
                  <c:v>43709</c:v>
                </c:pt>
              </c:numCache>
            </c:numRef>
          </c:cat>
          <c:val>
            <c:numRef>
              <c:f>Sheet1!$C$7:$G$7</c:f>
              <c:numCache>
                <c:formatCode>0.0</c:formatCode>
                <c:ptCount val="5"/>
                <c:pt idx="0">
                  <c:v>9.3958387795381348</c:v>
                </c:pt>
                <c:pt idx="1">
                  <c:v>9.2510352500909434</c:v>
                </c:pt>
                <c:pt idx="2">
                  <c:v>5.7096906271708603</c:v>
                </c:pt>
                <c:pt idx="3">
                  <c:v>0.26240937494828032</c:v>
                </c:pt>
                <c:pt idx="4">
                  <c:v>41.116740748391976</c:v>
                </c:pt>
              </c:numCache>
            </c:numRef>
          </c:val>
          <c:smooth val="1"/>
          <c:extLst>
            <c:ext xmlns:c16="http://schemas.microsoft.com/office/drawing/2014/chart" uri="{C3380CC4-5D6E-409C-BE32-E72D297353CC}">
              <c16:uniqueId val="{00000003-E79D-4AAA-A2D1-8BB7A78D31B4}"/>
            </c:ext>
          </c:extLst>
        </c:ser>
        <c:dLbls>
          <c:showLegendKey val="0"/>
          <c:showVal val="0"/>
          <c:showCatName val="0"/>
          <c:showSerName val="0"/>
          <c:showPercent val="0"/>
          <c:showBubbleSize val="0"/>
        </c:dLbls>
        <c:marker val="1"/>
        <c:smooth val="0"/>
        <c:axId val="631731727"/>
        <c:axId val="631721327"/>
      </c:lineChart>
      <c:catAx>
        <c:axId val="631732975"/>
        <c:scaling>
          <c:orientation val="minMax"/>
        </c:scaling>
        <c:delete val="0"/>
        <c:axPos val="b"/>
        <c:numFmt formatCode="mmm\-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20911"/>
        <c:crosses val="autoZero"/>
        <c:auto val="0"/>
        <c:lblAlgn val="ctr"/>
        <c:lblOffset val="100"/>
        <c:noMultiLvlLbl val="0"/>
      </c:catAx>
      <c:valAx>
        <c:axId val="631720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FRW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_(* #,##0_);_(* \(#,##0\);_(* &quot;-&quot;??_);_(@_)"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32975"/>
        <c:crosses val="autoZero"/>
        <c:crossBetween val="between"/>
      </c:valAx>
      <c:valAx>
        <c:axId val="631721327"/>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31727"/>
        <c:crosses val="max"/>
        <c:crossBetween val="between"/>
      </c:valAx>
      <c:catAx>
        <c:axId val="631731727"/>
        <c:scaling>
          <c:orientation val="minMax"/>
        </c:scaling>
        <c:delete val="1"/>
        <c:axPos val="b"/>
        <c:numFmt formatCode="mmm\-yy" sourceLinked="1"/>
        <c:majorTickMark val="out"/>
        <c:minorTickMark val="none"/>
        <c:tickLblPos val="nextTo"/>
        <c:crossAx val="631721327"/>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BentonSans Book" panose="02000503040000020004" pitchFamily="50"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BentonSans Book" panose="02000503040000020004" pitchFamily="50" charset="0"/>
                <a:ea typeface="+mn-ea"/>
                <a:cs typeface="+mn-cs"/>
              </a:defRPr>
            </a:pPr>
            <a:r>
              <a:rPr lang="en-US" sz="1200" b="1">
                <a:solidFill>
                  <a:sysClr val="windowText" lastClr="000000"/>
                </a:solidFill>
              </a:rPr>
              <a:t>New Loans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barChart>
        <c:barDir val="col"/>
        <c:grouping val="clustered"/>
        <c:varyColors val="0"/>
        <c:ser>
          <c:idx val="0"/>
          <c:order val="0"/>
          <c:tx>
            <c:strRef>
              <c:f>Sheet1!$B$6</c:f>
              <c:strCache>
                <c:ptCount val="1"/>
                <c:pt idx="0">
                  <c:v>New Loans (LA)</c:v>
                </c:pt>
              </c:strCache>
            </c:strRef>
          </c:tx>
          <c:spPr>
            <a:solidFill>
              <a:srgbClr val="FFC000">
                <a:lumMod val="60000"/>
                <a:lumOff val="40000"/>
              </a:srgbClr>
            </a:solidFill>
            <a:ln>
              <a:noFill/>
            </a:ln>
            <a:effectLst/>
          </c:spPr>
          <c:invertIfNegative val="0"/>
          <c:dLbls>
            <c:dLbl>
              <c:idx val="4"/>
              <c:layout>
                <c:manualLayout>
                  <c:x val="-2.7777777777778798E-3"/>
                  <c:y val="-1.388888888888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9D-4AAA-A2D1-8BB7A78D31B4}"/>
                </c:ext>
              </c:extLst>
            </c:dLbl>
            <c:spPr>
              <a:noFill/>
              <a:ln>
                <a:solidFill>
                  <a:schemeClr val="tx1"/>
                </a:solidFill>
              </a:ln>
              <a:effectLst/>
            </c:spPr>
            <c:txPr>
              <a:bodyPr rot="0" spcFirstLastPara="1" vertOverflow="ellipsis" vert="horz" wrap="square" anchor="ctr" anchorCtr="1"/>
              <a:lstStyle/>
              <a:p>
                <a:pPr>
                  <a:defRPr sz="900" b="0" i="0" u="none" strike="noStrike" kern="1200" baseline="0">
                    <a:solidFill>
                      <a:srgbClr val="C00000"/>
                    </a:solidFill>
                    <a:latin typeface="BentonSans Book" panose="02000503040000020004"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Sheet1!$C$5:$G$5</c:f>
              <c:numCache>
                <c:formatCode>mmm\-yy</c:formatCode>
                <c:ptCount val="5"/>
                <c:pt idx="0">
                  <c:v>42248</c:v>
                </c:pt>
                <c:pt idx="1">
                  <c:v>42614</c:v>
                </c:pt>
                <c:pt idx="2">
                  <c:v>42979</c:v>
                </c:pt>
                <c:pt idx="3">
                  <c:v>43344</c:v>
                </c:pt>
                <c:pt idx="4">
                  <c:v>43709</c:v>
                </c:pt>
              </c:numCache>
            </c:numRef>
          </c:cat>
          <c:val>
            <c:numRef>
              <c:f>Sheet1!$C$6:$G$6</c:f>
              <c:numCache>
                <c:formatCode>_(* #,##0_);_(* \(#,##0\);_(* "-"??_);_(@_)</c:formatCode>
                <c:ptCount val="5"/>
                <c:pt idx="0">
                  <c:v>527.45926300000008</c:v>
                </c:pt>
                <c:pt idx="1">
                  <c:v>576.25470534999999</c:v>
                </c:pt>
                <c:pt idx="2">
                  <c:v>609.15706624999996</c:v>
                </c:pt>
                <c:pt idx="3">
                  <c:v>610.75555149999991</c:v>
                </c:pt>
                <c:pt idx="4">
                  <c:v>861.87832821666655</c:v>
                </c:pt>
              </c:numCache>
            </c:numRef>
          </c:val>
          <c:extLst>
            <c:ext xmlns:c16="http://schemas.microsoft.com/office/drawing/2014/chart" uri="{C3380CC4-5D6E-409C-BE32-E72D297353CC}">
              <c16:uniqueId val="{00000001-E79D-4AAA-A2D1-8BB7A78D31B4}"/>
            </c:ext>
          </c:extLst>
        </c:ser>
        <c:dLbls>
          <c:showLegendKey val="0"/>
          <c:showVal val="0"/>
          <c:showCatName val="0"/>
          <c:showSerName val="0"/>
          <c:showPercent val="0"/>
          <c:showBubbleSize val="0"/>
        </c:dLbls>
        <c:gapWidth val="150"/>
        <c:axId val="631732975"/>
        <c:axId val="631720911"/>
      </c:barChart>
      <c:lineChart>
        <c:grouping val="standard"/>
        <c:varyColors val="0"/>
        <c:ser>
          <c:idx val="1"/>
          <c:order val="1"/>
          <c:tx>
            <c:strRef>
              <c:f>Sheet1!$B$7</c:f>
              <c:strCache>
                <c:ptCount val="1"/>
                <c:pt idx="0">
                  <c:v>Growth (RA)</c:v>
                </c:pt>
              </c:strCache>
            </c:strRef>
          </c:tx>
          <c:spPr>
            <a:ln w="19050" cap="rnd">
              <a:solidFill>
                <a:srgbClr val="4472C4">
                  <a:lumMod val="75000"/>
                </a:srgbClr>
              </a:solidFill>
              <a:round/>
            </a:ln>
            <a:effectLst/>
          </c:spPr>
          <c:marker>
            <c:symbol val="none"/>
          </c:marker>
          <c:dLbls>
            <c:dLbl>
              <c:idx val="4"/>
              <c:layout>
                <c:manualLayout>
                  <c:x val="-2.631955380577438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9D-4AAA-A2D1-8BB7A78D31B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Sheet1!$C$5:$G$5</c:f>
              <c:numCache>
                <c:formatCode>mmm\-yy</c:formatCode>
                <c:ptCount val="5"/>
                <c:pt idx="0">
                  <c:v>42248</c:v>
                </c:pt>
                <c:pt idx="1">
                  <c:v>42614</c:v>
                </c:pt>
                <c:pt idx="2">
                  <c:v>42979</c:v>
                </c:pt>
                <c:pt idx="3">
                  <c:v>43344</c:v>
                </c:pt>
                <c:pt idx="4">
                  <c:v>43709</c:v>
                </c:pt>
              </c:numCache>
            </c:numRef>
          </c:cat>
          <c:val>
            <c:numRef>
              <c:f>Sheet1!$C$7:$G$7</c:f>
              <c:numCache>
                <c:formatCode>0.0</c:formatCode>
                <c:ptCount val="5"/>
                <c:pt idx="0">
                  <c:v>9.3958387795381348</c:v>
                </c:pt>
                <c:pt idx="1">
                  <c:v>9.2510352500909434</c:v>
                </c:pt>
                <c:pt idx="2">
                  <c:v>5.7096906271708603</c:v>
                </c:pt>
                <c:pt idx="3">
                  <c:v>0.26240937494828032</c:v>
                </c:pt>
                <c:pt idx="4">
                  <c:v>41.116740748391976</c:v>
                </c:pt>
              </c:numCache>
            </c:numRef>
          </c:val>
          <c:smooth val="1"/>
          <c:extLst>
            <c:ext xmlns:c16="http://schemas.microsoft.com/office/drawing/2014/chart" uri="{C3380CC4-5D6E-409C-BE32-E72D297353CC}">
              <c16:uniqueId val="{00000003-E79D-4AAA-A2D1-8BB7A78D31B4}"/>
            </c:ext>
          </c:extLst>
        </c:ser>
        <c:dLbls>
          <c:showLegendKey val="0"/>
          <c:showVal val="0"/>
          <c:showCatName val="0"/>
          <c:showSerName val="0"/>
          <c:showPercent val="0"/>
          <c:showBubbleSize val="0"/>
        </c:dLbls>
        <c:marker val="1"/>
        <c:smooth val="0"/>
        <c:axId val="631731727"/>
        <c:axId val="631721327"/>
      </c:lineChart>
      <c:catAx>
        <c:axId val="631732975"/>
        <c:scaling>
          <c:orientation val="minMax"/>
        </c:scaling>
        <c:delete val="0"/>
        <c:axPos val="b"/>
        <c:numFmt formatCode="mmm\-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20911"/>
        <c:crosses val="autoZero"/>
        <c:auto val="0"/>
        <c:lblAlgn val="ctr"/>
        <c:lblOffset val="100"/>
        <c:noMultiLvlLbl val="0"/>
      </c:catAx>
      <c:valAx>
        <c:axId val="631720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FRW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_(* #,##0_);_(* \(#,##0\);_(* &quot;-&quot;??_);_(@_)"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32975"/>
        <c:crosses val="autoZero"/>
        <c:crossBetween val="between"/>
      </c:valAx>
      <c:valAx>
        <c:axId val="631721327"/>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31731727"/>
        <c:crosses val="max"/>
        <c:crossBetween val="between"/>
      </c:valAx>
      <c:catAx>
        <c:axId val="631731727"/>
        <c:scaling>
          <c:orientation val="minMax"/>
        </c:scaling>
        <c:delete val="1"/>
        <c:axPos val="b"/>
        <c:numFmt formatCode="mmm\-yy" sourceLinked="1"/>
        <c:majorTickMark val="out"/>
        <c:minorTickMark val="none"/>
        <c:tickLblPos val="nextTo"/>
        <c:crossAx val="631721327"/>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BentonSans Book" panose="02000503040000020004" pitchFamily="50"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BentonSans Book" panose="02000503040000020004" pitchFamily="50" charset="0"/>
                <a:ea typeface="+mn-ea"/>
                <a:cs typeface="+mn-cs"/>
              </a:defRPr>
            </a:pPr>
            <a:r>
              <a:rPr lang="en-US" sz="1100" b="1">
                <a:solidFill>
                  <a:sysClr val="windowText" lastClr="000000"/>
                </a:solidFill>
              </a:rPr>
              <a:t>The Share of New Loans by Sector </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barChart>
        <c:barDir val="col"/>
        <c:grouping val="clustered"/>
        <c:varyColors val="0"/>
        <c:ser>
          <c:idx val="0"/>
          <c:order val="0"/>
          <c:tx>
            <c:strRef>
              <c:f>Sheet1!$B$36</c:f>
              <c:strCache>
                <c:ptCount val="1"/>
                <c:pt idx="0">
                  <c:v>Sep-17</c:v>
                </c:pt>
              </c:strCache>
            </c:strRef>
          </c:tx>
          <c:spPr>
            <a:solidFill>
              <a:srgbClr val="5B9BD5"/>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Sheet1!$B$37:$B$47</c:f>
              <c:numCache>
                <c:formatCode>0.0</c:formatCode>
                <c:ptCount val="11"/>
                <c:pt idx="0">
                  <c:v>10.933664228835498</c:v>
                </c:pt>
                <c:pt idx="1">
                  <c:v>1.1710918489242756</c:v>
                </c:pt>
                <c:pt idx="2">
                  <c:v>0.10070145024768477</c:v>
                </c:pt>
                <c:pt idx="3">
                  <c:v>6.8732595531965561</c:v>
                </c:pt>
                <c:pt idx="4">
                  <c:v>2.2550518595416524</c:v>
                </c:pt>
                <c:pt idx="5">
                  <c:v>27.363622288112953</c:v>
                </c:pt>
                <c:pt idx="6">
                  <c:v>36.5598277667521</c:v>
                </c:pt>
                <c:pt idx="7">
                  <c:v>2.7148871639638474</c:v>
                </c:pt>
                <c:pt idx="8">
                  <c:v>8.3563600539616996</c:v>
                </c:pt>
                <c:pt idx="9">
                  <c:v>1.4275313349859708</c:v>
                </c:pt>
                <c:pt idx="10">
                  <c:v>2.2440024514777597</c:v>
                </c:pt>
              </c:numCache>
            </c:numRef>
          </c:val>
          <c:extLst>
            <c:ext xmlns:c16="http://schemas.microsoft.com/office/drawing/2014/chart" uri="{C3380CC4-5D6E-409C-BE32-E72D297353CC}">
              <c16:uniqueId val="{00000000-E1A6-4126-8521-8CAFF6436CC3}"/>
            </c:ext>
          </c:extLst>
        </c:ser>
        <c:ser>
          <c:idx val="1"/>
          <c:order val="1"/>
          <c:tx>
            <c:strRef>
              <c:f>Sheet1!$C$36</c:f>
              <c:strCache>
                <c:ptCount val="1"/>
                <c:pt idx="0">
                  <c:v>Sep-18</c:v>
                </c:pt>
              </c:strCache>
            </c:strRef>
          </c:tx>
          <c:spPr>
            <a:solidFill>
              <a:srgbClr val="ED7D31">
                <a:lumMod val="75000"/>
              </a:srgbClr>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Sheet1!$C$37:$C$47</c:f>
              <c:numCache>
                <c:formatCode>0.0</c:formatCode>
                <c:ptCount val="11"/>
                <c:pt idx="0">
                  <c:v>12.796586835445249</c:v>
                </c:pt>
                <c:pt idx="1">
                  <c:v>1.4815503209279197</c:v>
                </c:pt>
                <c:pt idx="2">
                  <c:v>4.8907946766325885E-2</c:v>
                </c:pt>
                <c:pt idx="3">
                  <c:v>7.281199146005636</c:v>
                </c:pt>
                <c:pt idx="4">
                  <c:v>2.5011015393120015</c:v>
                </c:pt>
                <c:pt idx="5">
                  <c:v>25.686371841353623</c:v>
                </c:pt>
                <c:pt idx="6">
                  <c:v>35.868586451972675</c:v>
                </c:pt>
                <c:pt idx="7">
                  <c:v>1.0627042577115242</c:v>
                </c:pt>
                <c:pt idx="8">
                  <c:v>9.651369197037365</c:v>
                </c:pt>
                <c:pt idx="9">
                  <c:v>0.38249934761337989</c:v>
                </c:pt>
                <c:pt idx="10">
                  <c:v>3.2391231158543152</c:v>
                </c:pt>
              </c:numCache>
            </c:numRef>
          </c:val>
          <c:extLst>
            <c:ext xmlns:c16="http://schemas.microsoft.com/office/drawing/2014/chart" uri="{C3380CC4-5D6E-409C-BE32-E72D297353CC}">
              <c16:uniqueId val="{00000001-E1A6-4126-8521-8CAFF6436CC3}"/>
            </c:ext>
          </c:extLst>
        </c:ser>
        <c:ser>
          <c:idx val="2"/>
          <c:order val="2"/>
          <c:tx>
            <c:strRef>
              <c:f>Sheet1!$D$36</c:f>
              <c:strCache>
                <c:ptCount val="1"/>
                <c:pt idx="0">
                  <c:v>Sep-19</c:v>
                </c:pt>
              </c:strCache>
            </c:strRef>
          </c:tx>
          <c:spPr>
            <a:solidFill>
              <a:srgbClr val="70AD47"/>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Sheet1!$D$37:$D$47</c:f>
              <c:numCache>
                <c:formatCode>0.0</c:formatCode>
                <c:ptCount val="11"/>
                <c:pt idx="0">
                  <c:v>12.967122331282384</c:v>
                </c:pt>
                <c:pt idx="1">
                  <c:v>1.139464774606928</c:v>
                </c:pt>
                <c:pt idx="2">
                  <c:v>6.05619126170652E-3</c:v>
                </c:pt>
                <c:pt idx="3">
                  <c:v>14.122716097509391</c:v>
                </c:pt>
                <c:pt idx="4">
                  <c:v>5.9886099804980848</c:v>
                </c:pt>
                <c:pt idx="5">
                  <c:v>24.37219190416015</c:v>
                </c:pt>
                <c:pt idx="6">
                  <c:v>27.634204844916255</c:v>
                </c:pt>
                <c:pt idx="7">
                  <c:v>2.3108884801884795</c:v>
                </c:pt>
                <c:pt idx="8">
                  <c:v>7.6471148933949369</c:v>
                </c:pt>
                <c:pt idx="9">
                  <c:v>0.66030526742393492</c:v>
                </c:pt>
                <c:pt idx="10">
                  <c:v>3.1513252347577452</c:v>
                </c:pt>
              </c:numCache>
            </c:numRef>
          </c:val>
          <c:extLst>
            <c:ext xmlns:c16="http://schemas.microsoft.com/office/drawing/2014/chart" uri="{C3380CC4-5D6E-409C-BE32-E72D297353CC}">
              <c16:uniqueId val="{00000002-E1A6-4126-8521-8CAFF6436CC3}"/>
            </c:ext>
          </c:extLst>
        </c:ser>
        <c:dLbls>
          <c:showLegendKey val="0"/>
          <c:showVal val="0"/>
          <c:showCatName val="0"/>
          <c:showSerName val="0"/>
          <c:showPercent val="0"/>
          <c:showBubbleSize val="0"/>
        </c:dLbls>
        <c:gapWidth val="219"/>
        <c:overlap val="-27"/>
        <c:axId val="697305103"/>
        <c:axId val="697294703"/>
      </c:barChart>
      <c:catAx>
        <c:axId val="697305103"/>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BentonSans Book" panose="02000503040000020004" pitchFamily="50" charset="0"/>
                <a:ea typeface="+mn-ea"/>
                <a:cs typeface="+mn-cs"/>
              </a:defRPr>
            </a:pPr>
            <a:endParaRPr lang="en-US"/>
          </a:p>
        </c:txPr>
        <c:crossAx val="697294703"/>
        <c:crosses val="autoZero"/>
        <c:auto val="1"/>
        <c:lblAlgn val="ctr"/>
        <c:lblOffset val="100"/>
        <c:noMultiLvlLbl val="0"/>
      </c:catAx>
      <c:valAx>
        <c:axId val="697294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97305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BentonSans Book" panose="02000503040000020004" pitchFamily="50" charset="0"/>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BentonSans Book" panose="02000503040000020004" pitchFamily="50" charset="0"/>
                <a:ea typeface="+mn-ea"/>
                <a:cs typeface="+mn-cs"/>
              </a:defRPr>
            </a:pPr>
            <a:r>
              <a:rPr lang="en-US" sz="1100" b="1">
                <a:solidFill>
                  <a:sysClr val="windowText" lastClr="000000"/>
                </a:solidFill>
              </a:rPr>
              <a:t>The Share of New Loans by Sector </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barChart>
        <c:barDir val="col"/>
        <c:grouping val="clustered"/>
        <c:varyColors val="0"/>
        <c:ser>
          <c:idx val="0"/>
          <c:order val="0"/>
          <c:tx>
            <c:strRef>
              <c:f>Sheet1!$B$36</c:f>
              <c:strCache>
                <c:ptCount val="1"/>
                <c:pt idx="0">
                  <c:v>Sep-17</c:v>
                </c:pt>
              </c:strCache>
            </c:strRef>
          </c:tx>
          <c:spPr>
            <a:solidFill>
              <a:srgbClr val="5B9BD5"/>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Sheet1!$B$37:$B$47</c:f>
              <c:numCache>
                <c:formatCode>0.0</c:formatCode>
                <c:ptCount val="11"/>
                <c:pt idx="0">
                  <c:v>10.933664228835498</c:v>
                </c:pt>
                <c:pt idx="1">
                  <c:v>1.1710918489242756</c:v>
                </c:pt>
                <c:pt idx="2">
                  <c:v>0.10070145024768477</c:v>
                </c:pt>
                <c:pt idx="3">
                  <c:v>6.8732595531965561</c:v>
                </c:pt>
                <c:pt idx="4">
                  <c:v>2.2550518595416524</c:v>
                </c:pt>
                <c:pt idx="5">
                  <c:v>27.363622288112953</c:v>
                </c:pt>
                <c:pt idx="6">
                  <c:v>36.5598277667521</c:v>
                </c:pt>
                <c:pt idx="7">
                  <c:v>2.7148871639638474</c:v>
                </c:pt>
                <c:pt idx="8">
                  <c:v>8.3563600539616996</c:v>
                </c:pt>
                <c:pt idx="9">
                  <c:v>1.4275313349859708</c:v>
                </c:pt>
                <c:pt idx="10">
                  <c:v>2.2440024514777597</c:v>
                </c:pt>
              </c:numCache>
            </c:numRef>
          </c:val>
          <c:extLst>
            <c:ext xmlns:c16="http://schemas.microsoft.com/office/drawing/2014/chart" uri="{C3380CC4-5D6E-409C-BE32-E72D297353CC}">
              <c16:uniqueId val="{00000000-E1A6-4126-8521-8CAFF6436CC3}"/>
            </c:ext>
          </c:extLst>
        </c:ser>
        <c:ser>
          <c:idx val="1"/>
          <c:order val="1"/>
          <c:tx>
            <c:strRef>
              <c:f>Sheet1!$C$36</c:f>
              <c:strCache>
                <c:ptCount val="1"/>
                <c:pt idx="0">
                  <c:v>Sep-18</c:v>
                </c:pt>
              </c:strCache>
            </c:strRef>
          </c:tx>
          <c:spPr>
            <a:solidFill>
              <a:srgbClr val="ED7D31">
                <a:lumMod val="75000"/>
              </a:srgbClr>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Sheet1!$C$37:$C$47</c:f>
              <c:numCache>
                <c:formatCode>0.0</c:formatCode>
                <c:ptCount val="11"/>
                <c:pt idx="0">
                  <c:v>12.796586835445249</c:v>
                </c:pt>
                <c:pt idx="1">
                  <c:v>1.4815503209279197</c:v>
                </c:pt>
                <c:pt idx="2">
                  <c:v>4.8907946766325885E-2</c:v>
                </c:pt>
                <c:pt idx="3">
                  <c:v>7.281199146005636</c:v>
                </c:pt>
                <c:pt idx="4">
                  <c:v>2.5011015393120015</c:v>
                </c:pt>
                <c:pt idx="5">
                  <c:v>25.686371841353623</c:v>
                </c:pt>
                <c:pt idx="6">
                  <c:v>35.868586451972675</c:v>
                </c:pt>
                <c:pt idx="7">
                  <c:v>1.0627042577115242</c:v>
                </c:pt>
                <c:pt idx="8">
                  <c:v>9.651369197037365</c:v>
                </c:pt>
                <c:pt idx="9">
                  <c:v>0.38249934761337989</c:v>
                </c:pt>
                <c:pt idx="10">
                  <c:v>3.2391231158543152</c:v>
                </c:pt>
              </c:numCache>
            </c:numRef>
          </c:val>
          <c:extLst>
            <c:ext xmlns:c16="http://schemas.microsoft.com/office/drawing/2014/chart" uri="{C3380CC4-5D6E-409C-BE32-E72D297353CC}">
              <c16:uniqueId val="{00000001-E1A6-4126-8521-8CAFF6436CC3}"/>
            </c:ext>
          </c:extLst>
        </c:ser>
        <c:ser>
          <c:idx val="2"/>
          <c:order val="2"/>
          <c:tx>
            <c:strRef>
              <c:f>Sheet1!$D$36</c:f>
              <c:strCache>
                <c:ptCount val="1"/>
                <c:pt idx="0">
                  <c:v>Sep-19</c:v>
                </c:pt>
              </c:strCache>
            </c:strRef>
          </c:tx>
          <c:spPr>
            <a:solidFill>
              <a:srgbClr val="70AD47"/>
            </a:solidFill>
            <a:ln>
              <a:noFill/>
            </a:ln>
            <a:effectLst/>
          </c:spPr>
          <c:invertIfNegative val="0"/>
          <c:cat>
            <c:strRef>
              <c:f>Sheet1!$A$37:$A$47</c:f>
              <c:strCache>
                <c:ptCount val="11"/>
                <c:pt idx="0">
                  <c:v>Personal loans</c:v>
                </c:pt>
                <c:pt idx="1">
                  <c:v> Agriculture</c:v>
                </c:pt>
                <c:pt idx="2">
                  <c:v> Mining </c:v>
                </c:pt>
                <c:pt idx="3">
                  <c:v> Manufacturing </c:v>
                </c:pt>
                <c:pt idx="4">
                  <c:v> Water &amp; energy </c:v>
                </c:pt>
                <c:pt idx="5">
                  <c:v> Mortgage </c:v>
                </c:pt>
                <c:pt idx="6">
                  <c:v>Trade</c:v>
                </c:pt>
                <c:pt idx="7">
                  <c:v>Hotels</c:v>
                </c:pt>
                <c:pt idx="8">
                  <c:v>Transport &amp; communication</c:v>
                </c:pt>
                <c:pt idx="9">
                  <c:v>OFI</c:v>
                </c:pt>
                <c:pt idx="10">
                  <c:v>Other Services</c:v>
                </c:pt>
              </c:strCache>
            </c:strRef>
          </c:cat>
          <c:val>
            <c:numRef>
              <c:f>Sheet1!$D$37:$D$47</c:f>
              <c:numCache>
                <c:formatCode>0.0</c:formatCode>
                <c:ptCount val="11"/>
                <c:pt idx="0">
                  <c:v>12.967122331282384</c:v>
                </c:pt>
                <c:pt idx="1">
                  <c:v>1.139464774606928</c:v>
                </c:pt>
                <c:pt idx="2">
                  <c:v>6.05619126170652E-3</c:v>
                </c:pt>
                <c:pt idx="3">
                  <c:v>14.122716097509391</c:v>
                </c:pt>
                <c:pt idx="4">
                  <c:v>5.9886099804980848</c:v>
                </c:pt>
                <c:pt idx="5">
                  <c:v>24.37219190416015</c:v>
                </c:pt>
                <c:pt idx="6">
                  <c:v>27.634204844916255</c:v>
                </c:pt>
                <c:pt idx="7">
                  <c:v>2.3108884801884795</c:v>
                </c:pt>
                <c:pt idx="8">
                  <c:v>7.6471148933949369</c:v>
                </c:pt>
                <c:pt idx="9">
                  <c:v>0.66030526742393492</c:v>
                </c:pt>
                <c:pt idx="10">
                  <c:v>3.1513252347577452</c:v>
                </c:pt>
              </c:numCache>
            </c:numRef>
          </c:val>
          <c:extLst>
            <c:ext xmlns:c16="http://schemas.microsoft.com/office/drawing/2014/chart" uri="{C3380CC4-5D6E-409C-BE32-E72D297353CC}">
              <c16:uniqueId val="{00000002-E1A6-4126-8521-8CAFF6436CC3}"/>
            </c:ext>
          </c:extLst>
        </c:ser>
        <c:dLbls>
          <c:showLegendKey val="0"/>
          <c:showVal val="0"/>
          <c:showCatName val="0"/>
          <c:showSerName val="0"/>
          <c:showPercent val="0"/>
          <c:showBubbleSize val="0"/>
        </c:dLbls>
        <c:gapWidth val="219"/>
        <c:overlap val="-27"/>
        <c:axId val="697305103"/>
        <c:axId val="697294703"/>
      </c:barChart>
      <c:catAx>
        <c:axId val="697305103"/>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BentonSans Book" panose="02000503040000020004" pitchFamily="50" charset="0"/>
                <a:ea typeface="+mn-ea"/>
                <a:cs typeface="+mn-cs"/>
              </a:defRPr>
            </a:pPr>
            <a:endParaRPr lang="en-US"/>
          </a:p>
        </c:txPr>
        <c:crossAx val="697294703"/>
        <c:crosses val="autoZero"/>
        <c:auto val="1"/>
        <c:lblAlgn val="ctr"/>
        <c:lblOffset val="100"/>
        <c:noMultiLvlLbl val="0"/>
      </c:catAx>
      <c:valAx>
        <c:axId val="697294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solidFill>
                      <a:sysClr val="windowText" lastClr="000000"/>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697305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BentonSans Book" panose="02000503040000020004" pitchFamily="50"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75DC-F3DB-46B9-95BF-2700C891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fmurezi</dc:creator>
  <cp:keywords/>
  <dc:description/>
  <cp:lastModifiedBy>Alfred Hakuzwimana</cp:lastModifiedBy>
  <cp:revision>42</cp:revision>
  <cp:lastPrinted>2017-11-07T09:20:00Z</cp:lastPrinted>
  <dcterms:created xsi:type="dcterms:W3CDTF">2018-11-08T13:16:00Z</dcterms:created>
  <dcterms:modified xsi:type="dcterms:W3CDTF">2019-12-06T08:07:00Z</dcterms:modified>
</cp:coreProperties>
</file>