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theme/themeOverride10.xml" ContentType="application/vnd.openxmlformats-officedocument.themeOverride+xml"/>
  <Override PartName="/word/charts/colors10.xml" ContentType="application/vnd.ms-office.chartcolorstyle+xml"/>
  <Override PartName="/word/charts/style10.xml" ContentType="application/vnd.ms-office.chartstyle+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theme/themeOverride30.xml" ContentType="application/vnd.openxmlformats-officedocument.themeOverride+xml"/>
  <Override PartName="/word/charts/colors30.xml" ContentType="application/vnd.ms-office.chartcolorstyle+xml"/>
  <Override PartName="/word/charts/style30.xml" ContentType="application/vnd.ms-office.chartstyle+xml"/>
  <Override PartName="/word/theme/themeOverride40.xml" ContentType="application/vnd.openxmlformats-officedocument.themeOverride+xml"/>
  <Override PartName="/word/charts/colors40.xml" ContentType="application/vnd.ms-office.chartcolorstyle+xml"/>
  <Override PartName="/word/charts/style4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v:fill r:id="rId4" o:title="5%" type="pattern"/>
    </v:background>
  </w:background>
  <w:body>
    <w:p w14:paraId="4CAC3DE6" w14:textId="77777777" w:rsidR="00720190" w:rsidRPr="00E84183" w:rsidRDefault="00720190" w:rsidP="00AB69E4">
      <w:pPr>
        <w:pStyle w:val="NoSpacing1"/>
        <w:spacing w:line="276" w:lineRule="auto"/>
        <w:jc w:val="center"/>
        <w:rPr>
          <w:rFonts w:ascii="Bookman Old Style" w:hAnsi="Bookman Old Style"/>
        </w:rPr>
      </w:pPr>
      <w:r w:rsidRPr="00E84183">
        <w:rPr>
          <w:rFonts w:ascii="Bookman Old Style" w:hAnsi="Bookman Old Style"/>
          <w:noProof/>
        </w:rPr>
        <w:drawing>
          <wp:anchor distT="0" distB="0" distL="114300" distR="114300" simplePos="0" relativeHeight="251660288" behindDoc="0" locked="0" layoutInCell="1" allowOverlap="1" wp14:anchorId="526F88FB" wp14:editId="1BE6F115">
            <wp:simplePos x="0" y="0"/>
            <wp:positionH relativeFrom="margin">
              <wp:posOffset>2278380</wp:posOffset>
            </wp:positionH>
            <wp:positionV relativeFrom="margin">
              <wp:posOffset>-304800</wp:posOffset>
            </wp:positionV>
            <wp:extent cx="1352550" cy="1352550"/>
            <wp:effectExtent l="0" t="0" r="0" b="0"/>
            <wp:wrapSquare wrapText="bothSides"/>
            <wp:docPr id="8" name="Picture 8" descr="D:\DOOSIERS DE PATRICK\NEW  BN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OSIERS DE PATRICK\NEW  BNR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F9094" w14:textId="77777777" w:rsidR="00720190" w:rsidRPr="00E84183" w:rsidRDefault="00720190" w:rsidP="00AB69E4">
      <w:pPr>
        <w:spacing w:after="0" w:line="276" w:lineRule="auto"/>
        <w:rPr>
          <w:rFonts w:ascii="Bookman Old Style" w:hAnsi="Bookman Old Style"/>
          <w:color w:val="FFC000"/>
        </w:rPr>
      </w:pPr>
    </w:p>
    <w:p w14:paraId="63EA2015" w14:textId="77777777" w:rsidR="00720190" w:rsidRPr="00E84183" w:rsidRDefault="00720190" w:rsidP="00AB69E4">
      <w:pPr>
        <w:spacing w:after="0" w:line="276" w:lineRule="auto"/>
        <w:rPr>
          <w:rFonts w:ascii="Bookman Old Style" w:hAnsi="Bookman Old Style"/>
          <w:color w:val="FFC000"/>
        </w:rPr>
      </w:pPr>
    </w:p>
    <w:p w14:paraId="27DDA6D0" w14:textId="77777777" w:rsidR="00720190" w:rsidRPr="00E84183" w:rsidRDefault="00720190" w:rsidP="00AB69E4">
      <w:pPr>
        <w:spacing w:after="0" w:line="276" w:lineRule="auto"/>
        <w:rPr>
          <w:rFonts w:ascii="Bookman Old Style" w:hAnsi="Bookman Old Style"/>
        </w:rPr>
      </w:pPr>
    </w:p>
    <w:p w14:paraId="7D554397" w14:textId="77777777" w:rsidR="00720190" w:rsidRPr="00E84183" w:rsidRDefault="00720190" w:rsidP="00AB69E4">
      <w:pPr>
        <w:spacing w:after="0" w:line="276" w:lineRule="auto"/>
        <w:rPr>
          <w:rFonts w:ascii="Bookman Old Style" w:hAnsi="Bookman Old Style"/>
        </w:rPr>
      </w:pPr>
      <w:r w:rsidRPr="00E84183">
        <w:rPr>
          <w:rFonts w:ascii="Bookman Old Style" w:hAnsi="Bookman Old Style"/>
        </w:rPr>
        <w:t xml:space="preserve"> </w:t>
      </w:r>
    </w:p>
    <w:p w14:paraId="4B0EE361" w14:textId="77777777" w:rsidR="00720190" w:rsidRPr="00E84183" w:rsidRDefault="00960DB3" w:rsidP="00AB69E4">
      <w:pPr>
        <w:spacing w:after="0" w:line="276" w:lineRule="auto"/>
        <w:rPr>
          <w:rFonts w:ascii="Bookman Old Style" w:hAnsi="Bookman Old Style"/>
        </w:rPr>
      </w:pPr>
      <w:r w:rsidRPr="00E84183">
        <w:rPr>
          <w:rFonts w:ascii="Bookman Old Style" w:hAnsi="Bookman Old Style"/>
          <w:noProof/>
          <w:color w:val="FFC000"/>
        </w:rPr>
        <mc:AlternateContent>
          <mc:Choice Requires="wps">
            <w:drawing>
              <wp:anchor distT="0" distB="0" distL="114300" distR="114300" simplePos="0" relativeHeight="251661312" behindDoc="0" locked="0" layoutInCell="1" allowOverlap="1" wp14:anchorId="05BB7BB0" wp14:editId="41C47371">
                <wp:simplePos x="0" y="0"/>
                <wp:positionH relativeFrom="column">
                  <wp:posOffset>569343</wp:posOffset>
                </wp:positionH>
                <wp:positionV relativeFrom="paragraph">
                  <wp:posOffset>171989</wp:posOffset>
                </wp:positionV>
                <wp:extent cx="5267325" cy="715993"/>
                <wp:effectExtent l="0" t="0" r="952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67325" cy="7159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F23C3C9" w14:textId="77777777" w:rsidR="00C11618" w:rsidRPr="00B010B6" w:rsidRDefault="00C11618" w:rsidP="001C54A4">
                            <w:pPr>
                              <w:pStyle w:val="NormalWeb"/>
                              <w:spacing w:before="120" w:after="120" w:line="360" w:lineRule="auto"/>
                              <w:jc w:val="center"/>
                              <w:rPr>
                                <w:rFonts w:ascii="BentonSans Bold" w:hAnsi="BentonSans Bold"/>
                                <w:b/>
                                <w:color w:val="0070C0"/>
                                <w:szCs w:val="22"/>
                              </w:rPr>
                            </w:pPr>
                            <w:r w:rsidRPr="00B010B6">
                              <w:rPr>
                                <w:rFonts w:ascii="BentonSans Bold" w:hAnsi="BentonSans Bold"/>
                                <w:b/>
                                <w:color w:val="0070C0"/>
                                <w:szCs w:val="22"/>
                              </w:rPr>
                              <w:t>NATIONAL BANK OF RWANDA</w:t>
                            </w:r>
                          </w:p>
                          <w:p w14:paraId="6A1AA3A6" w14:textId="2A168983" w:rsidR="00C11618" w:rsidRDefault="00C11618" w:rsidP="001C54A4">
                            <w:pPr>
                              <w:pStyle w:val="NormalWeb"/>
                              <w:spacing w:before="120" w:after="120" w:line="360" w:lineRule="auto"/>
                              <w:jc w:val="center"/>
                              <w:rPr>
                                <w:rFonts w:ascii="BentonSans Bold" w:hAnsi="BentonSans Bold"/>
                                <w:b/>
                                <w:color w:val="0070C0"/>
                                <w:szCs w:val="22"/>
                              </w:rPr>
                            </w:pPr>
                            <w:r w:rsidRPr="00B010B6">
                              <w:rPr>
                                <w:rFonts w:ascii="BentonSans Bold" w:hAnsi="BentonSans Bold"/>
                                <w:b/>
                                <w:color w:val="0070C0"/>
                                <w:szCs w:val="22"/>
                              </w:rPr>
                              <w:t>BANKI NKURU Y’U RWANDA</w:t>
                            </w:r>
                          </w:p>
                          <w:p w14:paraId="3DA634AA" w14:textId="2C3F41F0" w:rsidR="009470B6" w:rsidRDefault="009470B6" w:rsidP="001C54A4">
                            <w:pPr>
                              <w:pStyle w:val="NormalWeb"/>
                              <w:spacing w:before="120" w:after="120" w:line="360" w:lineRule="auto"/>
                              <w:jc w:val="center"/>
                              <w:rPr>
                                <w:rFonts w:ascii="BentonSans Bold" w:hAnsi="BentonSans Bold"/>
                                <w:b/>
                                <w:color w:val="0070C0"/>
                                <w:szCs w:val="22"/>
                              </w:rPr>
                            </w:pPr>
                          </w:p>
                          <w:p w14:paraId="11D16869" w14:textId="299F3DEA" w:rsidR="009470B6" w:rsidRDefault="009470B6" w:rsidP="001C54A4">
                            <w:pPr>
                              <w:pStyle w:val="NormalWeb"/>
                              <w:spacing w:before="120" w:after="120" w:line="360" w:lineRule="auto"/>
                              <w:jc w:val="center"/>
                              <w:rPr>
                                <w:rFonts w:ascii="BentonSans Bold" w:hAnsi="BentonSans Bold"/>
                                <w:b/>
                                <w:color w:val="0070C0"/>
                                <w:szCs w:val="22"/>
                              </w:rPr>
                            </w:pPr>
                          </w:p>
                          <w:p w14:paraId="5D171592" w14:textId="59A35A87" w:rsidR="009470B6" w:rsidRDefault="009470B6" w:rsidP="001C54A4">
                            <w:pPr>
                              <w:pStyle w:val="NormalWeb"/>
                              <w:spacing w:before="120" w:after="120" w:line="360" w:lineRule="auto"/>
                              <w:jc w:val="center"/>
                              <w:rPr>
                                <w:rFonts w:ascii="BentonSans Bold" w:hAnsi="BentonSans Bold"/>
                                <w:b/>
                                <w:color w:val="0070C0"/>
                                <w:szCs w:val="22"/>
                              </w:rPr>
                            </w:pPr>
                          </w:p>
                          <w:p w14:paraId="6AD4DABC" w14:textId="02D85B82" w:rsidR="009470B6" w:rsidRDefault="009470B6" w:rsidP="001C54A4">
                            <w:pPr>
                              <w:pStyle w:val="NormalWeb"/>
                              <w:spacing w:before="120" w:after="120" w:line="360" w:lineRule="auto"/>
                              <w:jc w:val="center"/>
                              <w:rPr>
                                <w:rFonts w:ascii="BentonSans Bold" w:hAnsi="BentonSans Bold"/>
                                <w:b/>
                                <w:color w:val="0070C0"/>
                                <w:szCs w:val="22"/>
                              </w:rPr>
                            </w:pPr>
                          </w:p>
                          <w:p w14:paraId="413B2B6C" w14:textId="77777777" w:rsidR="009470B6" w:rsidRPr="00B010B6" w:rsidRDefault="009470B6" w:rsidP="001C54A4">
                            <w:pPr>
                              <w:pStyle w:val="NormalWeb"/>
                              <w:spacing w:before="120" w:after="120" w:line="360" w:lineRule="auto"/>
                              <w:jc w:val="center"/>
                              <w:rPr>
                                <w:rFonts w:ascii="BentonSans Bold" w:hAnsi="BentonSans Bold"/>
                                <w:b/>
                                <w:color w:val="0070C0"/>
                                <w:sz w:val="22"/>
                                <w:szCs w:val="22"/>
                              </w:rPr>
                            </w:pPr>
                          </w:p>
                          <w:p w14:paraId="1B0508E6"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2B33211E"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638A5343" w14:textId="77777777" w:rsidR="00D24940" w:rsidRPr="00D24940" w:rsidRDefault="00D24940" w:rsidP="001C54A4">
                            <w:pPr>
                              <w:pStyle w:val="NormalWeb"/>
                              <w:spacing w:before="120" w:after="120" w:line="360" w:lineRule="auto"/>
                              <w:jc w:val="center"/>
                              <w:rPr>
                                <w:rFonts w:ascii="BentonSans Book" w:hAnsi="BentonSans Book"/>
                                <w:b/>
                                <w:color w:val="0070C0"/>
                                <w:sz w:val="38"/>
                                <w:szCs w:val="22"/>
                              </w:rPr>
                            </w:pPr>
                          </w:p>
                          <w:p w14:paraId="4CA92999" w14:textId="77777777" w:rsidR="00C11618" w:rsidRPr="008034D1" w:rsidRDefault="00C11618" w:rsidP="00720190"/>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5BB7BB0" id="_x0000_t202" coordsize="21600,21600" o:spt="202" path="m,l,21600r21600,l21600,xe">
                <v:stroke joinstyle="miter"/>
                <v:path gradientshapeok="t" o:connecttype="rect"/>
              </v:shapetype>
              <v:shape id="Text Box 7" o:spid="_x0000_s1026" type="#_x0000_t202" style="position:absolute;margin-left:44.85pt;margin-top:13.55pt;width:414.75pt;height:5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" stroked="f" strokeweight=".5pt">
                <v:path arrowok="t"/>
                <v:textbox>
                  <w:txbxContent>
                    <w:p w14:paraId="0F23C3C9" w14:textId="77777777" w:rsidR="00C11618" w:rsidRPr="00B010B6" w:rsidRDefault="00C11618" w:rsidP="001C54A4">
                      <w:pPr>
                        <w:pStyle w:val="NormalWeb"/>
                        <w:spacing w:before="120" w:after="120" w:line="360" w:lineRule="auto"/>
                        <w:jc w:val="center"/>
                        <w:rPr>
                          <w:rFonts w:ascii="BentonSans Bold" w:hAnsi="BentonSans Bold"/>
                          <w:b/>
                          <w:color w:val="0070C0"/>
                          <w:szCs w:val="22"/>
                        </w:rPr>
                      </w:pPr>
                      <w:r w:rsidRPr="00B010B6">
                        <w:rPr>
                          <w:rFonts w:ascii="BentonSans Bold" w:hAnsi="BentonSans Bold"/>
                          <w:b/>
                          <w:color w:val="0070C0"/>
                          <w:szCs w:val="22"/>
                        </w:rPr>
                        <w:t>NATIONAL BANK OF RWANDA</w:t>
                      </w:r>
                    </w:p>
                    <w:p w14:paraId="6A1AA3A6" w14:textId="2A168983" w:rsidR="00C11618" w:rsidRDefault="00C11618" w:rsidP="001C54A4">
                      <w:pPr>
                        <w:pStyle w:val="NormalWeb"/>
                        <w:spacing w:before="120" w:after="120" w:line="360" w:lineRule="auto"/>
                        <w:jc w:val="center"/>
                        <w:rPr>
                          <w:rFonts w:ascii="BentonSans Bold" w:hAnsi="BentonSans Bold"/>
                          <w:b/>
                          <w:color w:val="0070C0"/>
                          <w:szCs w:val="22"/>
                        </w:rPr>
                      </w:pPr>
                      <w:r w:rsidRPr="00B010B6">
                        <w:rPr>
                          <w:rFonts w:ascii="BentonSans Bold" w:hAnsi="BentonSans Bold"/>
                          <w:b/>
                          <w:color w:val="0070C0"/>
                          <w:szCs w:val="22"/>
                        </w:rPr>
                        <w:t>BANKI NKURU Y’U RWANDA</w:t>
                      </w:r>
                    </w:p>
                    <w:p w14:paraId="3DA634AA" w14:textId="2C3F41F0" w:rsidR="009470B6" w:rsidRDefault="009470B6" w:rsidP="001C54A4">
                      <w:pPr>
                        <w:pStyle w:val="NormalWeb"/>
                        <w:spacing w:before="120" w:after="120" w:line="360" w:lineRule="auto"/>
                        <w:jc w:val="center"/>
                        <w:rPr>
                          <w:rFonts w:ascii="BentonSans Bold" w:hAnsi="BentonSans Bold"/>
                          <w:b/>
                          <w:color w:val="0070C0"/>
                          <w:szCs w:val="22"/>
                        </w:rPr>
                      </w:pPr>
                    </w:p>
                    <w:p w14:paraId="11D16869" w14:textId="299F3DEA" w:rsidR="009470B6" w:rsidRDefault="009470B6" w:rsidP="001C54A4">
                      <w:pPr>
                        <w:pStyle w:val="NormalWeb"/>
                        <w:spacing w:before="120" w:after="120" w:line="360" w:lineRule="auto"/>
                        <w:jc w:val="center"/>
                        <w:rPr>
                          <w:rFonts w:ascii="BentonSans Bold" w:hAnsi="BentonSans Bold"/>
                          <w:b/>
                          <w:color w:val="0070C0"/>
                          <w:szCs w:val="22"/>
                        </w:rPr>
                      </w:pPr>
                    </w:p>
                    <w:p w14:paraId="5D171592" w14:textId="59A35A87" w:rsidR="009470B6" w:rsidRDefault="009470B6" w:rsidP="001C54A4">
                      <w:pPr>
                        <w:pStyle w:val="NormalWeb"/>
                        <w:spacing w:before="120" w:after="120" w:line="360" w:lineRule="auto"/>
                        <w:jc w:val="center"/>
                        <w:rPr>
                          <w:rFonts w:ascii="BentonSans Bold" w:hAnsi="BentonSans Bold"/>
                          <w:b/>
                          <w:color w:val="0070C0"/>
                          <w:szCs w:val="22"/>
                        </w:rPr>
                      </w:pPr>
                    </w:p>
                    <w:p w14:paraId="6AD4DABC" w14:textId="02D85B82" w:rsidR="009470B6" w:rsidRDefault="009470B6" w:rsidP="001C54A4">
                      <w:pPr>
                        <w:pStyle w:val="NormalWeb"/>
                        <w:spacing w:before="120" w:after="120" w:line="360" w:lineRule="auto"/>
                        <w:jc w:val="center"/>
                        <w:rPr>
                          <w:rFonts w:ascii="BentonSans Bold" w:hAnsi="BentonSans Bold"/>
                          <w:b/>
                          <w:color w:val="0070C0"/>
                          <w:szCs w:val="22"/>
                        </w:rPr>
                      </w:pPr>
                    </w:p>
                    <w:p w14:paraId="413B2B6C" w14:textId="77777777" w:rsidR="009470B6" w:rsidRPr="00B010B6" w:rsidRDefault="009470B6" w:rsidP="001C54A4">
                      <w:pPr>
                        <w:pStyle w:val="NormalWeb"/>
                        <w:spacing w:before="120" w:after="120" w:line="360" w:lineRule="auto"/>
                        <w:jc w:val="center"/>
                        <w:rPr>
                          <w:rFonts w:ascii="BentonSans Bold" w:hAnsi="BentonSans Bold"/>
                          <w:b/>
                          <w:color w:val="0070C0"/>
                          <w:sz w:val="22"/>
                          <w:szCs w:val="22"/>
                        </w:rPr>
                      </w:pPr>
                    </w:p>
                    <w:p w14:paraId="1B0508E6"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2B33211E" w14:textId="77777777" w:rsidR="00D24940" w:rsidRDefault="00D24940" w:rsidP="001C54A4">
                      <w:pPr>
                        <w:pStyle w:val="NormalWeb"/>
                        <w:spacing w:before="120" w:after="120" w:line="360" w:lineRule="auto"/>
                        <w:jc w:val="center"/>
                        <w:rPr>
                          <w:rFonts w:ascii="BentonSans Book" w:hAnsi="BentonSans Book"/>
                          <w:b/>
                          <w:color w:val="0070C0"/>
                          <w:sz w:val="40"/>
                          <w:szCs w:val="22"/>
                        </w:rPr>
                      </w:pPr>
                    </w:p>
                    <w:p w14:paraId="638A5343" w14:textId="77777777" w:rsidR="00D24940" w:rsidRPr="00D24940" w:rsidRDefault="00D24940" w:rsidP="001C54A4">
                      <w:pPr>
                        <w:pStyle w:val="NormalWeb"/>
                        <w:spacing w:before="120" w:after="120" w:line="360" w:lineRule="auto"/>
                        <w:jc w:val="center"/>
                        <w:rPr>
                          <w:rFonts w:ascii="BentonSans Book" w:hAnsi="BentonSans Book"/>
                          <w:b/>
                          <w:color w:val="0070C0"/>
                          <w:sz w:val="38"/>
                          <w:szCs w:val="22"/>
                        </w:rPr>
                      </w:pPr>
                    </w:p>
                    <w:p w14:paraId="4CA92999" w14:textId="77777777" w:rsidR="00C11618" w:rsidRPr="008034D1" w:rsidRDefault="00C11618" w:rsidP="00720190"/>
                  </w:txbxContent>
                </v:textbox>
              </v:shape>
            </w:pict>
          </mc:Fallback>
        </mc:AlternateContent>
      </w:r>
    </w:p>
    <w:p w14:paraId="1535CCE5" w14:textId="77777777" w:rsidR="00720190" w:rsidRPr="00E84183" w:rsidRDefault="00720190" w:rsidP="00AB69E4">
      <w:pPr>
        <w:spacing w:after="0" w:line="276" w:lineRule="auto"/>
        <w:rPr>
          <w:rFonts w:ascii="Bookman Old Style" w:hAnsi="Bookman Old Style"/>
        </w:rPr>
      </w:pPr>
    </w:p>
    <w:p w14:paraId="4C0219B3" w14:textId="77777777" w:rsidR="00891E5E" w:rsidRPr="00E84183" w:rsidRDefault="00891E5E" w:rsidP="00AB69E4">
      <w:pPr>
        <w:spacing w:after="0" w:line="276" w:lineRule="auto"/>
        <w:rPr>
          <w:rFonts w:ascii="Bookman Old Style" w:hAnsi="Bookman Old Style"/>
          <w:b/>
        </w:rPr>
      </w:pPr>
    </w:p>
    <w:p w14:paraId="07A0BDD3" w14:textId="77777777" w:rsidR="00891E5E" w:rsidRPr="00E84183" w:rsidRDefault="00891E5E" w:rsidP="00AB69E4">
      <w:pPr>
        <w:spacing w:after="0" w:line="276" w:lineRule="auto"/>
        <w:rPr>
          <w:rFonts w:ascii="Bookman Old Style" w:hAnsi="Bookman Old Style"/>
          <w:b/>
        </w:rPr>
      </w:pPr>
    </w:p>
    <w:p w14:paraId="3C9EFA4E" w14:textId="357F8DFD" w:rsidR="00E84183" w:rsidRDefault="009470B6" w:rsidP="00AB69E4">
      <w:pPr>
        <w:spacing w:after="0" w:line="276" w:lineRule="auto"/>
        <w:jc w:val="center"/>
        <w:rPr>
          <w:rFonts w:ascii="Bookman Old Style" w:hAnsi="Bookman Old Style"/>
          <w:b/>
          <w:color w:val="0070C0"/>
        </w:rPr>
      </w:pPr>
      <w:r>
        <w:rPr>
          <w:rFonts w:ascii="Bookman Old Style" w:hAnsi="Bookman Old Style"/>
          <w:b/>
          <w:noProof/>
          <w:color w:val="0070C0"/>
        </w:rPr>
        <mc:AlternateContent>
          <mc:Choice Requires="wps">
            <w:drawing>
              <wp:anchor distT="0" distB="0" distL="114300" distR="114300" simplePos="0" relativeHeight="251705344" behindDoc="0" locked="0" layoutInCell="1" allowOverlap="1" wp14:anchorId="043AB23B" wp14:editId="2CD44A79">
                <wp:simplePos x="0" y="0"/>
                <wp:positionH relativeFrom="page">
                  <wp:posOffset>342900</wp:posOffset>
                </wp:positionH>
                <wp:positionV relativeFrom="paragraph">
                  <wp:posOffset>150495</wp:posOffset>
                </wp:positionV>
                <wp:extent cx="7067550" cy="22002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7067550" cy="2200275"/>
                        </a:xfrm>
                        <a:prstGeom prst="rect">
                          <a:avLst/>
                        </a:prstGeom>
                        <a:solidFill>
                          <a:srgbClr val="FFC000"/>
                        </a:solidFill>
                        <a:ln w="6350">
                          <a:solidFill>
                            <a:prstClr val="black"/>
                          </a:solidFill>
                        </a:ln>
                      </wps:spPr>
                      <wps:txbx>
                        <w:txbxContent>
                          <w:p w14:paraId="4ED5F534" w14:textId="77777777" w:rsidR="009470B6" w:rsidRDefault="009470B6" w:rsidP="009470B6">
                            <w:pPr>
                              <w:pStyle w:val="NormalWeb"/>
                              <w:spacing w:before="120" w:after="120" w:line="360" w:lineRule="auto"/>
                              <w:jc w:val="center"/>
                              <w:rPr>
                                <w:rFonts w:ascii="BentonSans Bold" w:hAnsi="BentonSans Bold"/>
                                <w:b/>
                                <w:szCs w:val="22"/>
                              </w:rPr>
                            </w:pPr>
                          </w:p>
                          <w:p w14:paraId="50022533" w14:textId="77777777" w:rsidR="009470B6" w:rsidRDefault="009470B6" w:rsidP="009470B6">
                            <w:pPr>
                              <w:pStyle w:val="NormalWeb"/>
                              <w:spacing w:before="120" w:after="120" w:line="360" w:lineRule="auto"/>
                              <w:jc w:val="center"/>
                              <w:rPr>
                                <w:rFonts w:ascii="BentonSans Bold" w:hAnsi="BentonSans Bold"/>
                                <w:b/>
                                <w:szCs w:val="22"/>
                              </w:rPr>
                            </w:pPr>
                          </w:p>
                          <w:p w14:paraId="64472992" w14:textId="15A4028A" w:rsidR="009470B6" w:rsidRPr="00B010B6" w:rsidRDefault="009470B6" w:rsidP="009470B6">
                            <w:pPr>
                              <w:pStyle w:val="NormalWeb"/>
                              <w:spacing w:before="120" w:after="120" w:line="360" w:lineRule="auto"/>
                              <w:jc w:val="center"/>
                              <w:rPr>
                                <w:rFonts w:ascii="BentonSans Bold" w:hAnsi="BentonSans Bold"/>
                                <w:b/>
                                <w:szCs w:val="22"/>
                              </w:rPr>
                            </w:pPr>
                            <w:r w:rsidRPr="00B010B6">
                              <w:rPr>
                                <w:rFonts w:ascii="BentonSans Bold" w:hAnsi="BentonSans Bold"/>
                                <w:b/>
                                <w:szCs w:val="22"/>
                              </w:rPr>
                              <w:t>QUARTERLY CREDIT SURVEY REPORT</w:t>
                            </w:r>
                          </w:p>
                          <w:p w14:paraId="1912B263" w14:textId="77777777" w:rsidR="009470B6" w:rsidRPr="00B010B6" w:rsidRDefault="009470B6" w:rsidP="009470B6">
                            <w:pPr>
                              <w:pStyle w:val="NormalWeb"/>
                              <w:spacing w:before="120" w:after="120" w:line="360" w:lineRule="auto"/>
                              <w:jc w:val="center"/>
                              <w:rPr>
                                <w:rFonts w:ascii="BentonSans Bold" w:hAnsi="BentonSans Bold"/>
                                <w:b/>
                                <w:szCs w:val="22"/>
                              </w:rPr>
                            </w:pPr>
                            <w:r w:rsidRPr="00B010B6">
                              <w:rPr>
                                <w:rFonts w:ascii="BentonSans Bold" w:hAnsi="BentonSans Bold"/>
                                <w:b/>
                                <w:szCs w:val="22"/>
                              </w:rPr>
                              <w:t>SECOND QUARTER, 2019</w:t>
                            </w:r>
                          </w:p>
                          <w:p w14:paraId="232C5A7D" w14:textId="77777777" w:rsidR="009470B6" w:rsidRDefault="009470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B23B" id="Text Box 1" o:spid="_x0000_s1027" type="#_x0000_t202" style="position:absolute;left:0;text-align:left;margin-left:27pt;margin-top:11.85pt;width:556.5pt;height:173.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" fillcolor="#ffc000" strokeweight=".5pt">
                <v:textbox>
                  <w:txbxContent>
                    <w:p w14:paraId="4ED5F534" w14:textId="77777777" w:rsidR="009470B6" w:rsidRDefault="009470B6" w:rsidP="009470B6">
                      <w:pPr>
                        <w:pStyle w:val="NormalWeb"/>
                        <w:spacing w:before="120" w:after="120" w:line="360" w:lineRule="auto"/>
                        <w:jc w:val="center"/>
                        <w:rPr>
                          <w:rFonts w:ascii="BentonSans Bold" w:hAnsi="BentonSans Bold"/>
                          <w:b/>
                          <w:szCs w:val="22"/>
                        </w:rPr>
                      </w:pPr>
                    </w:p>
                    <w:p w14:paraId="50022533" w14:textId="77777777" w:rsidR="009470B6" w:rsidRDefault="009470B6" w:rsidP="009470B6">
                      <w:pPr>
                        <w:pStyle w:val="NormalWeb"/>
                        <w:spacing w:before="120" w:after="120" w:line="360" w:lineRule="auto"/>
                        <w:jc w:val="center"/>
                        <w:rPr>
                          <w:rFonts w:ascii="BentonSans Bold" w:hAnsi="BentonSans Bold"/>
                          <w:b/>
                          <w:szCs w:val="22"/>
                        </w:rPr>
                      </w:pPr>
                    </w:p>
                    <w:p w14:paraId="64472992" w14:textId="15A4028A" w:rsidR="009470B6" w:rsidRPr="00B010B6" w:rsidRDefault="009470B6" w:rsidP="009470B6">
                      <w:pPr>
                        <w:pStyle w:val="NormalWeb"/>
                        <w:spacing w:before="120" w:after="120" w:line="360" w:lineRule="auto"/>
                        <w:jc w:val="center"/>
                        <w:rPr>
                          <w:rFonts w:ascii="BentonSans Bold" w:hAnsi="BentonSans Bold"/>
                          <w:b/>
                          <w:szCs w:val="22"/>
                        </w:rPr>
                      </w:pPr>
                      <w:r w:rsidRPr="00B010B6">
                        <w:rPr>
                          <w:rFonts w:ascii="BentonSans Bold" w:hAnsi="BentonSans Bold"/>
                          <w:b/>
                          <w:szCs w:val="22"/>
                        </w:rPr>
                        <w:t>QUARTERLY CREDIT SURVEY REPORT</w:t>
                      </w:r>
                    </w:p>
                    <w:p w14:paraId="1912B263" w14:textId="77777777" w:rsidR="009470B6" w:rsidRPr="00B010B6" w:rsidRDefault="009470B6" w:rsidP="009470B6">
                      <w:pPr>
                        <w:pStyle w:val="NormalWeb"/>
                        <w:spacing w:before="120" w:after="120" w:line="360" w:lineRule="auto"/>
                        <w:jc w:val="center"/>
                        <w:rPr>
                          <w:rFonts w:ascii="BentonSans Bold" w:hAnsi="BentonSans Bold"/>
                          <w:b/>
                          <w:szCs w:val="22"/>
                        </w:rPr>
                      </w:pPr>
                      <w:r w:rsidRPr="00B010B6">
                        <w:rPr>
                          <w:rFonts w:ascii="BentonSans Bold" w:hAnsi="BentonSans Bold"/>
                          <w:b/>
                          <w:szCs w:val="22"/>
                        </w:rPr>
                        <w:t>SECOND QUARTER, 2019</w:t>
                      </w:r>
                    </w:p>
                    <w:p w14:paraId="232C5A7D" w14:textId="77777777" w:rsidR="009470B6" w:rsidRDefault="009470B6"/>
                  </w:txbxContent>
                </v:textbox>
                <w10:wrap anchorx="page"/>
              </v:shape>
            </w:pict>
          </mc:Fallback>
        </mc:AlternateContent>
      </w:r>
    </w:p>
    <w:p w14:paraId="72B929EE" w14:textId="5E2F5245" w:rsidR="009470B6" w:rsidRDefault="009470B6" w:rsidP="00AB69E4">
      <w:pPr>
        <w:spacing w:after="0" w:line="276" w:lineRule="auto"/>
        <w:jc w:val="center"/>
        <w:rPr>
          <w:rFonts w:ascii="Bookman Old Style" w:hAnsi="Bookman Old Style"/>
          <w:b/>
          <w:color w:val="0070C0"/>
        </w:rPr>
      </w:pPr>
    </w:p>
    <w:p w14:paraId="1B3AA1AD" w14:textId="5B10FB24" w:rsidR="009470B6" w:rsidRDefault="009470B6" w:rsidP="00AB69E4">
      <w:pPr>
        <w:spacing w:after="0" w:line="276" w:lineRule="auto"/>
        <w:jc w:val="center"/>
        <w:rPr>
          <w:rFonts w:ascii="Bookman Old Style" w:hAnsi="Bookman Old Style"/>
          <w:b/>
          <w:color w:val="0070C0"/>
        </w:rPr>
      </w:pPr>
    </w:p>
    <w:p w14:paraId="31FFCE96" w14:textId="4CF4AE6D" w:rsidR="00E35D50" w:rsidRPr="00E35D50" w:rsidRDefault="00E35D50" w:rsidP="00AB69E4">
      <w:pPr>
        <w:spacing w:after="0"/>
        <w:rPr>
          <w:rFonts w:ascii="Bookman Old Style" w:hAnsi="Bookman Old Style"/>
        </w:rPr>
        <w:sectPr w:rsidR="00E35D50" w:rsidRPr="00E35D50" w:rsidSect="001C4946">
          <w:pgSz w:w="12240" w:h="15840"/>
          <w:pgMar w:top="1260" w:right="1260" w:bottom="1350" w:left="1440" w:header="720" w:footer="720" w:gutter="0"/>
          <w:cols w:space="720"/>
          <w:docGrid w:linePitch="360"/>
        </w:sectPr>
      </w:pPr>
      <w:r w:rsidRPr="00E84183">
        <w:rPr>
          <w:rFonts w:ascii="Bookman Old Style" w:hAnsi="Bookman Old Style"/>
          <w:noProof/>
        </w:rPr>
        <w:drawing>
          <wp:anchor distT="0" distB="0" distL="114300" distR="114300" simplePos="0" relativeHeight="251688960" behindDoc="0" locked="0" layoutInCell="1" allowOverlap="1" wp14:anchorId="0239D204" wp14:editId="7F3A9521">
            <wp:simplePos x="0" y="0"/>
            <wp:positionH relativeFrom="page">
              <wp:align>right</wp:align>
            </wp:positionH>
            <wp:positionV relativeFrom="page">
              <wp:align>bottom</wp:align>
            </wp:positionV>
            <wp:extent cx="7759282" cy="47815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9282"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51CC5" w14:textId="77777777" w:rsidR="001C0F90" w:rsidRPr="00B709F4" w:rsidRDefault="001C0F90" w:rsidP="00D24940">
      <w:pPr>
        <w:pStyle w:val="NormalWeb"/>
        <w:spacing w:before="120" w:after="120" w:line="360" w:lineRule="auto"/>
        <w:jc w:val="center"/>
        <w:rPr>
          <w:rFonts w:ascii="BentonSans Black" w:hAnsi="BentonSans Black"/>
          <w:b/>
          <w:color w:val="0070C0"/>
          <w:sz w:val="22"/>
          <w:szCs w:val="22"/>
        </w:rPr>
      </w:pPr>
      <w:r w:rsidRPr="00B709F4">
        <w:rPr>
          <w:rFonts w:ascii="BentonSans Black" w:hAnsi="BentonSans Black"/>
          <w:b/>
          <w:color w:val="0070C0"/>
          <w:sz w:val="22"/>
          <w:szCs w:val="22"/>
        </w:rPr>
        <w:lastRenderedPageBreak/>
        <w:t>BNR IDENTITY STATEMENT</w:t>
      </w:r>
    </w:p>
    <w:p w14:paraId="024D87F6" w14:textId="77777777" w:rsidR="001C0F90" w:rsidRPr="00053800" w:rsidRDefault="001C0F90" w:rsidP="00B709F4">
      <w:pPr>
        <w:pStyle w:val="NormalWeb"/>
        <w:spacing w:before="120" w:after="120" w:line="276" w:lineRule="auto"/>
        <w:jc w:val="both"/>
        <w:rPr>
          <w:rFonts w:ascii="BentonSans Book" w:hAnsi="BentonSans Book"/>
          <w:b/>
          <w:sz w:val="32"/>
          <w:szCs w:val="22"/>
        </w:rPr>
      </w:pPr>
      <w:r w:rsidRPr="00053800">
        <w:rPr>
          <w:rFonts w:ascii="BentonSans Book" w:hAnsi="BentonSans Book"/>
          <w:sz w:val="22"/>
          <w:szCs w:val="22"/>
        </w:rPr>
        <w:t>The National Bank of Rwanda strives to become a world class Central Bank that contributes to the economic growth and development by using robust monetary policy tools to maintain stable market prices. The bank embraces innovation, diversity and inclusiveness, economic integration and ensures financial stability in a free market economy</w:t>
      </w:r>
      <w:r w:rsidRPr="00053800">
        <w:rPr>
          <w:rFonts w:ascii="BentonSans Book" w:hAnsi="BentonSans Book"/>
          <w:b/>
          <w:sz w:val="32"/>
          <w:szCs w:val="22"/>
        </w:rPr>
        <w:t xml:space="preserve">.  </w:t>
      </w:r>
    </w:p>
    <w:p w14:paraId="7365AC66" w14:textId="77777777" w:rsidR="00F22446" w:rsidRDefault="00F22446" w:rsidP="00D24940">
      <w:pPr>
        <w:pStyle w:val="NormalWeb"/>
        <w:spacing w:before="120" w:after="120" w:line="360" w:lineRule="auto"/>
        <w:jc w:val="center"/>
        <w:rPr>
          <w:rFonts w:ascii="BentonSans Book" w:hAnsi="BentonSans Book"/>
          <w:b/>
          <w:color w:val="0070C0"/>
          <w:szCs w:val="22"/>
        </w:rPr>
      </w:pPr>
    </w:p>
    <w:p w14:paraId="1E93C290" w14:textId="77777777" w:rsidR="001C0F90" w:rsidRPr="00B709F4" w:rsidRDefault="001C0F90" w:rsidP="00D24940">
      <w:pPr>
        <w:pStyle w:val="NormalWeb"/>
        <w:spacing w:before="120" w:after="120" w:line="360" w:lineRule="auto"/>
        <w:jc w:val="center"/>
        <w:rPr>
          <w:rFonts w:ascii="BentonSans Black" w:hAnsi="BentonSans Black"/>
          <w:b/>
          <w:color w:val="ED7D31" w:themeColor="accent2"/>
          <w:sz w:val="22"/>
          <w:szCs w:val="22"/>
        </w:rPr>
      </w:pPr>
      <w:r w:rsidRPr="00B709F4">
        <w:rPr>
          <w:rFonts w:ascii="BentonSans Black" w:hAnsi="BentonSans Black"/>
          <w:b/>
          <w:color w:val="0070C0"/>
          <w:sz w:val="22"/>
          <w:szCs w:val="22"/>
        </w:rPr>
        <w:t>VISION, MISSION AND VALUES</w:t>
      </w:r>
    </w:p>
    <w:p w14:paraId="259BE24F" w14:textId="77777777" w:rsidR="001C0F90" w:rsidRPr="00B709F4" w:rsidRDefault="001C0F90" w:rsidP="00053800">
      <w:pPr>
        <w:pStyle w:val="NormalWeb"/>
        <w:spacing w:before="120" w:after="120" w:line="360" w:lineRule="auto"/>
        <w:jc w:val="center"/>
        <w:rPr>
          <w:rFonts w:ascii="BentonSans Black" w:hAnsi="BentonSans Black"/>
          <w:b/>
          <w:color w:val="000000" w:themeColor="text1"/>
          <w:sz w:val="22"/>
          <w:szCs w:val="22"/>
        </w:rPr>
      </w:pPr>
      <w:r w:rsidRPr="00B709F4">
        <w:rPr>
          <w:rFonts w:ascii="BentonSans Black" w:hAnsi="BentonSans Black"/>
          <w:b/>
          <w:color w:val="000000" w:themeColor="text1"/>
          <w:sz w:val="22"/>
          <w:szCs w:val="22"/>
        </w:rPr>
        <w:t>V</w:t>
      </w:r>
      <w:r w:rsidR="00053800" w:rsidRPr="00B709F4">
        <w:rPr>
          <w:rFonts w:ascii="BentonSans Black" w:hAnsi="BentonSans Black"/>
          <w:b/>
          <w:color w:val="000000" w:themeColor="text1"/>
          <w:sz w:val="22"/>
          <w:szCs w:val="22"/>
        </w:rPr>
        <w:t>ISION OF THE BANK</w:t>
      </w:r>
    </w:p>
    <w:p w14:paraId="6845BBED"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The Vision of the Bank is to become a World-Class Central Bank</w:t>
      </w:r>
    </w:p>
    <w:p w14:paraId="56475B06" w14:textId="77777777" w:rsidR="001C0F90" w:rsidRPr="00B709F4" w:rsidRDefault="00053800" w:rsidP="00053800">
      <w:pPr>
        <w:pStyle w:val="NormalWeb"/>
        <w:spacing w:before="120" w:after="120" w:line="360" w:lineRule="auto"/>
        <w:jc w:val="center"/>
        <w:rPr>
          <w:rFonts w:ascii="BentonSans Black" w:hAnsi="BentonSans Black"/>
          <w:b/>
          <w:color w:val="000000" w:themeColor="text1"/>
          <w:sz w:val="22"/>
          <w:szCs w:val="22"/>
        </w:rPr>
      </w:pPr>
      <w:r w:rsidRPr="00B709F4">
        <w:rPr>
          <w:rFonts w:ascii="BentonSans Black" w:hAnsi="BentonSans Black"/>
          <w:b/>
          <w:color w:val="000000" w:themeColor="text1"/>
          <w:sz w:val="22"/>
          <w:szCs w:val="22"/>
        </w:rPr>
        <w:t>MISSION OF THE BANK</w:t>
      </w:r>
    </w:p>
    <w:p w14:paraId="0A7BCC8D" w14:textId="77777777" w:rsidR="001C0F90" w:rsidRPr="00053800" w:rsidRDefault="001C0F90" w:rsidP="00053800">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The mission of the Bank is to ensure price stability and a sound financial system</w:t>
      </w:r>
    </w:p>
    <w:p w14:paraId="4A62E8C1" w14:textId="77777777" w:rsidR="001C0F90" w:rsidRPr="00B709F4" w:rsidRDefault="00053800" w:rsidP="00053800">
      <w:pPr>
        <w:pStyle w:val="NormalWeb"/>
        <w:spacing w:before="120" w:after="120" w:line="360" w:lineRule="auto"/>
        <w:jc w:val="center"/>
        <w:rPr>
          <w:rFonts w:ascii="BentonSans Black" w:hAnsi="BentonSans Black"/>
          <w:b/>
          <w:color w:val="0070C0"/>
          <w:sz w:val="22"/>
          <w:szCs w:val="22"/>
        </w:rPr>
      </w:pPr>
      <w:r w:rsidRPr="00B709F4">
        <w:rPr>
          <w:rFonts w:ascii="BentonSans Black" w:hAnsi="BentonSans Black"/>
          <w:b/>
          <w:color w:val="0070C0"/>
          <w:sz w:val="22"/>
          <w:szCs w:val="22"/>
        </w:rPr>
        <w:t>THE BANK’S CORE VALUES</w:t>
      </w:r>
    </w:p>
    <w:p w14:paraId="4F882268" w14:textId="77777777" w:rsidR="001C0F90" w:rsidRPr="00FE5C12" w:rsidRDefault="00053800" w:rsidP="002A006E">
      <w:pPr>
        <w:pStyle w:val="NormalWeb"/>
        <w:spacing w:before="120" w:after="120" w:line="360" w:lineRule="auto"/>
        <w:jc w:val="center"/>
        <w:rPr>
          <w:rFonts w:ascii="BentonSans Book" w:hAnsi="BentonSans Book"/>
          <w:b/>
          <w:szCs w:val="22"/>
        </w:rPr>
      </w:pPr>
      <w:r w:rsidRPr="00B709F4">
        <w:rPr>
          <w:rFonts w:ascii="BentonSans Black" w:hAnsi="BentonSans Black"/>
          <w:b/>
          <w:sz w:val="22"/>
          <w:szCs w:val="22"/>
        </w:rPr>
        <w:t>INTEGRITY</w:t>
      </w:r>
    </w:p>
    <w:p w14:paraId="349CD802"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We uphold high moral, ethical and professional standards for our people, systems and data</w:t>
      </w:r>
    </w:p>
    <w:p w14:paraId="0017919B" w14:textId="77777777" w:rsidR="001C0F90" w:rsidRPr="00B709F4" w:rsidRDefault="00053800" w:rsidP="00053800">
      <w:pPr>
        <w:pStyle w:val="NormalWeb"/>
        <w:spacing w:before="120" w:after="120" w:line="360" w:lineRule="auto"/>
        <w:jc w:val="center"/>
        <w:rPr>
          <w:rFonts w:ascii="BentonSans Black" w:hAnsi="BentonSans Black"/>
          <w:b/>
          <w:sz w:val="22"/>
          <w:szCs w:val="22"/>
        </w:rPr>
      </w:pPr>
      <w:r w:rsidRPr="00B709F4">
        <w:rPr>
          <w:rFonts w:ascii="BentonSans Black" w:hAnsi="BentonSans Black"/>
          <w:b/>
          <w:sz w:val="22"/>
          <w:szCs w:val="22"/>
        </w:rPr>
        <w:t>ACCOUNTABILITY</w:t>
      </w:r>
    </w:p>
    <w:p w14:paraId="2339A8B9"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 xml:space="preserve">We are results-focused and transparent, and we reward according to performance </w:t>
      </w:r>
    </w:p>
    <w:p w14:paraId="760A8AA3" w14:textId="77777777" w:rsidR="001C0F90" w:rsidRPr="00B709F4" w:rsidRDefault="00053800" w:rsidP="00053800">
      <w:pPr>
        <w:pStyle w:val="NormalWeb"/>
        <w:spacing w:before="120" w:after="120" w:line="360" w:lineRule="auto"/>
        <w:jc w:val="center"/>
        <w:rPr>
          <w:rFonts w:ascii="BentonSans Black" w:hAnsi="BentonSans Black"/>
          <w:b/>
          <w:sz w:val="22"/>
          <w:szCs w:val="22"/>
        </w:rPr>
      </w:pPr>
      <w:r w:rsidRPr="00B709F4">
        <w:rPr>
          <w:rFonts w:ascii="BentonSans Black" w:hAnsi="BentonSans Black"/>
          <w:b/>
          <w:sz w:val="22"/>
          <w:szCs w:val="22"/>
        </w:rPr>
        <w:t xml:space="preserve">MUTUAL-RESPECT AND </w:t>
      </w:r>
      <w:r w:rsidR="00F22446" w:rsidRPr="00B709F4">
        <w:rPr>
          <w:rFonts w:ascii="BentonSans Black" w:hAnsi="BentonSans Black"/>
          <w:b/>
          <w:sz w:val="22"/>
          <w:szCs w:val="22"/>
        </w:rPr>
        <w:t>TEAMWORK</w:t>
      </w:r>
    </w:p>
    <w:p w14:paraId="0D7576FE" w14:textId="77777777" w:rsidR="001C0F90" w:rsidRPr="00053800" w:rsidRDefault="001C0F90" w:rsidP="002A006E">
      <w:pPr>
        <w:pStyle w:val="NormalWeb"/>
        <w:spacing w:before="120" w:after="120" w:line="360" w:lineRule="auto"/>
        <w:jc w:val="center"/>
        <w:rPr>
          <w:rFonts w:ascii="BentonSans Book" w:hAnsi="BentonSans Book"/>
        </w:rPr>
      </w:pPr>
      <w:r w:rsidRPr="00053800">
        <w:rPr>
          <w:rFonts w:ascii="BentonSans Book" w:hAnsi="BentonSans Book"/>
          <w:sz w:val="22"/>
          <w:szCs w:val="22"/>
        </w:rPr>
        <w:t>We keep ourselves in high spirit, committed to ea</w:t>
      </w:r>
      <w:r w:rsidRPr="00053800">
        <w:rPr>
          <w:rFonts w:ascii="BentonSans Book" w:hAnsi="BentonSans Book"/>
        </w:rPr>
        <w:t>ch other for success</w:t>
      </w:r>
    </w:p>
    <w:p w14:paraId="6E62B7C7" w14:textId="77777777" w:rsidR="001C0F90" w:rsidRPr="00B709F4" w:rsidRDefault="00053800" w:rsidP="00053800">
      <w:pPr>
        <w:pStyle w:val="NormalWeb"/>
        <w:spacing w:before="120" w:after="120" w:line="360" w:lineRule="auto"/>
        <w:jc w:val="center"/>
        <w:rPr>
          <w:rFonts w:ascii="BentonSans Black" w:hAnsi="BentonSans Black"/>
          <w:b/>
          <w:sz w:val="22"/>
        </w:rPr>
      </w:pPr>
      <w:r w:rsidRPr="00B709F4">
        <w:rPr>
          <w:rFonts w:ascii="BentonSans Black" w:hAnsi="BentonSans Black"/>
          <w:b/>
          <w:sz w:val="22"/>
        </w:rPr>
        <w:t>EXCELLENCE</w:t>
      </w:r>
    </w:p>
    <w:p w14:paraId="5C312E66" w14:textId="77777777" w:rsidR="001C0F90" w:rsidRPr="00053800" w:rsidRDefault="001C0F90" w:rsidP="002A006E">
      <w:pPr>
        <w:pStyle w:val="NormalWeb"/>
        <w:spacing w:before="120" w:after="120" w:line="360" w:lineRule="auto"/>
        <w:jc w:val="center"/>
        <w:rPr>
          <w:rFonts w:ascii="BentonSans Book" w:hAnsi="BentonSans Book"/>
          <w:sz w:val="22"/>
          <w:szCs w:val="22"/>
        </w:rPr>
      </w:pPr>
      <w:r w:rsidRPr="00053800">
        <w:rPr>
          <w:rFonts w:ascii="BentonSans Book" w:hAnsi="BentonSans Book"/>
          <w:sz w:val="22"/>
          <w:szCs w:val="22"/>
        </w:rPr>
        <w:t>We passionately strive to deliver quality services in a timely and cost effective manner</w:t>
      </w:r>
    </w:p>
    <w:p w14:paraId="65CDE87A" w14:textId="77777777" w:rsidR="001C0F90" w:rsidRPr="002A006E" w:rsidRDefault="001C0F90" w:rsidP="002A006E">
      <w:pPr>
        <w:pStyle w:val="NormalWeb"/>
        <w:spacing w:before="120" w:after="120" w:line="360" w:lineRule="auto"/>
        <w:jc w:val="center"/>
        <w:rPr>
          <w:rFonts w:ascii="BentonSans Book" w:hAnsi="BentonSans Book"/>
          <w:b/>
          <w:color w:val="0070C0"/>
          <w:sz w:val="32"/>
          <w:szCs w:val="22"/>
        </w:rPr>
      </w:pPr>
    </w:p>
    <w:p w14:paraId="275C7FF7" w14:textId="77777777" w:rsidR="007D77D4" w:rsidRPr="002A006E" w:rsidRDefault="007D77D4" w:rsidP="002A006E">
      <w:pPr>
        <w:pStyle w:val="NormalWeb"/>
        <w:spacing w:before="120" w:after="120" w:line="360" w:lineRule="auto"/>
        <w:jc w:val="center"/>
        <w:rPr>
          <w:rFonts w:ascii="BentonSans Book" w:hAnsi="BentonSans Book"/>
          <w:b/>
          <w:color w:val="0070C0"/>
          <w:sz w:val="32"/>
          <w:szCs w:val="22"/>
        </w:rPr>
      </w:pPr>
    </w:p>
    <w:p w14:paraId="22A5F2EF" w14:textId="77777777" w:rsidR="00E35D50" w:rsidRPr="002A006E" w:rsidRDefault="00E35D50" w:rsidP="002A006E">
      <w:pPr>
        <w:pStyle w:val="NormalWeb"/>
        <w:spacing w:before="120" w:after="120" w:line="360" w:lineRule="auto"/>
        <w:jc w:val="center"/>
        <w:rPr>
          <w:rFonts w:ascii="BentonSans Book" w:hAnsi="BentonSans Book"/>
          <w:b/>
          <w:color w:val="0070C0"/>
          <w:sz w:val="32"/>
          <w:szCs w:val="22"/>
        </w:rPr>
        <w:sectPr w:rsidR="00E35D50" w:rsidRPr="002A006E" w:rsidSect="00A9267E">
          <w:footerReference w:type="default" r:id="rId11"/>
          <w:pgSz w:w="12240" w:h="15840"/>
          <w:pgMar w:top="1260" w:right="1260" w:bottom="1350" w:left="1440"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cols w:space="720"/>
          <w:docGrid w:linePitch="360"/>
        </w:sectPr>
      </w:pPr>
    </w:p>
    <w:p w14:paraId="03B17EC7" w14:textId="77777777" w:rsidR="00364E42" w:rsidRDefault="00364E42" w:rsidP="00870E7F">
      <w:pPr>
        <w:pStyle w:val="NormalWeb"/>
        <w:spacing w:before="120" w:after="120" w:line="276" w:lineRule="auto"/>
        <w:rPr>
          <w:rFonts w:ascii="BentonSans Black" w:hAnsi="BentonSans Black"/>
          <w:b/>
          <w:sz w:val="22"/>
          <w:szCs w:val="22"/>
        </w:rPr>
      </w:pPr>
    </w:p>
    <w:p w14:paraId="44767B3A" w14:textId="6E246ACF" w:rsidR="00364E42" w:rsidRPr="00364E42" w:rsidRDefault="00384385" w:rsidP="00364E42">
      <w:pPr>
        <w:pStyle w:val="NormalWeb"/>
        <w:spacing w:before="120" w:after="120" w:line="276" w:lineRule="auto"/>
        <w:rPr>
          <w:rFonts w:ascii="BentonSans Black" w:hAnsi="BentonSans Black"/>
          <w:b/>
          <w:sz w:val="22"/>
          <w:szCs w:val="22"/>
        </w:rPr>
      </w:pPr>
      <w:r w:rsidRPr="00B709F4">
        <w:rPr>
          <w:rFonts w:ascii="BentonSans Black" w:hAnsi="BentonSans Black"/>
          <w:b/>
          <w:sz w:val="22"/>
          <w:szCs w:val="22"/>
        </w:rPr>
        <w:t xml:space="preserve">1. </w:t>
      </w:r>
      <w:r w:rsidR="002B61D2" w:rsidRPr="00B709F4">
        <w:rPr>
          <w:rFonts w:ascii="BentonSans Black" w:hAnsi="BentonSans Black"/>
          <w:b/>
          <w:sz w:val="22"/>
          <w:szCs w:val="22"/>
        </w:rPr>
        <w:t>Introduction</w:t>
      </w:r>
    </w:p>
    <w:p w14:paraId="2C76A47A" w14:textId="41565498" w:rsidR="007144CD" w:rsidRPr="00B42750" w:rsidRDefault="00195DFF" w:rsidP="00B42750">
      <w:pPr>
        <w:spacing w:line="360" w:lineRule="auto"/>
        <w:jc w:val="both"/>
        <w:rPr>
          <w:rFonts w:ascii="BentonSans Book" w:eastAsia="Times New Roman" w:hAnsi="BentonSans Book" w:cs="Times New Roman"/>
          <w:szCs w:val="18"/>
        </w:rPr>
      </w:pPr>
      <w:r>
        <w:rPr>
          <w:rFonts w:ascii="BentonSans Book" w:hAnsi="BentonSans Book"/>
        </w:rPr>
        <w:t>Since June</w:t>
      </w:r>
      <w:r w:rsidR="00997C3C">
        <w:rPr>
          <w:rFonts w:ascii="BentonSans Book" w:hAnsi="BentonSans Book"/>
        </w:rPr>
        <w:t xml:space="preserve"> 2017</w:t>
      </w:r>
      <w:r w:rsidR="002208F4">
        <w:rPr>
          <w:rFonts w:ascii="BentonSans Book" w:hAnsi="BentonSans Book"/>
        </w:rPr>
        <w:t>, the</w:t>
      </w:r>
      <w:r w:rsidR="00A663A9">
        <w:rPr>
          <w:rFonts w:ascii="BentonSans Book" w:hAnsi="BentonSans Book"/>
        </w:rPr>
        <w:t xml:space="preserve"> National Bank of Rwanda (NBR) </w:t>
      </w:r>
      <w:r w:rsidR="002208F4">
        <w:rPr>
          <w:rFonts w:ascii="BentonSans Book" w:hAnsi="BentonSans Book"/>
        </w:rPr>
        <w:t>conducts the</w:t>
      </w:r>
      <w:r w:rsidR="002208F4" w:rsidRPr="003E2B6A">
        <w:rPr>
          <w:rFonts w:ascii="BentonSans Book" w:hAnsi="BentonSans Book"/>
        </w:rPr>
        <w:t xml:space="preserve"> quarter</w:t>
      </w:r>
      <w:r w:rsidR="00340FEE">
        <w:rPr>
          <w:rFonts w:ascii="BentonSans Book" w:hAnsi="BentonSans Book"/>
        </w:rPr>
        <w:t>ly bank lending survey to</w:t>
      </w:r>
      <w:r w:rsidR="00340FEE" w:rsidRPr="001042BD">
        <w:rPr>
          <w:rFonts w:ascii="BentonSans Book" w:eastAsia="Times New Roman" w:hAnsi="BentonSans Book" w:cs="Times New Roman"/>
          <w:szCs w:val="18"/>
        </w:rPr>
        <w:t xml:space="preserve"> supplement the information on credit market conditions derived from the quarterly banks</w:t>
      </w:r>
      <w:r w:rsidR="00340FEE">
        <w:rPr>
          <w:rFonts w:ascii="BentonSans Book" w:eastAsia="Times New Roman" w:hAnsi="BentonSans Book" w:cs="Times New Roman"/>
          <w:szCs w:val="18"/>
        </w:rPr>
        <w:t>’</w:t>
      </w:r>
      <w:r w:rsidR="00340FEE" w:rsidRPr="001042BD">
        <w:rPr>
          <w:rFonts w:ascii="BentonSans Book" w:eastAsia="Times New Roman" w:hAnsi="BentonSans Book" w:cs="Times New Roman"/>
          <w:szCs w:val="18"/>
        </w:rPr>
        <w:t xml:space="preserve"> balance sheet reports</w:t>
      </w:r>
      <w:r w:rsidR="00340FEE">
        <w:rPr>
          <w:rFonts w:ascii="BentonSans Book" w:eastAsia="Times New Roman" w:hAnsi="BentonSans Book" w:cs="Times New Roman"/>
          <w:szCs w:val="18"/>
        </w:rPr>
        <w:t>.</w:t>
      </w:r>
      <w:r w:rsidR="00B42750">
        <w:rPr>
          <w:rFonts w:ascii="BentonSans Book" w:eastAsia="Times New Roman" w:hAnsi="BentonSans Book" w:cs="Times New Roman"/>
          <w:szCs w:val="18"/>
        </w:rPr>
        <w:t xml:space="preserve"> </w:t>
      </w:r>
      <w:r w:rsidR="000F045C" w:rsidRPr="001042BD">
        <w:rPr>
          <w:rFonts w:ascii="BentonSans Book" w:eastAsia="Times New Roman" w:hAnsi="BentonSans Book" w:cs="Times New Roman"/>
          <w:szCs w:val="18"/>
        </w:rPr>
        <w:t xml:space="preserve">The bank lending survey provides information on both supply and demand factors with respect to loan developments, including information on changes in </w:t>
      </w:r>
      <w:r w:rsidR="00B42750" w:rsidRPr="001042BD">
        <w:rPr>
          <w:rFonts w:ascii="BentonSans Book" w:eastAsia="Times New Roman" w:hAnsi="BentonSans Book" w:cs="Times New Roman"/>
          <w:szCs w:val="18"/>
        </w:rPr>
        <w:t>loan demand</w:t>
      </w:r>
      <w:r w:rsidR="00B42750">
        <w:rPr>
          <w:rFonts w:ascii="BentonSans Book" w:eastAsia="Times New Roman" w:hAnsi="BentonSans Book" w:cs="Times New Roman"/>
          <w:szCs w:val="18"/>
        </w:rPr>
        <w:t>,</w:t>
      </w:r>
      <w:r w:rsidR="00B42750" w:rsidRPr="001042BD">
        <w:rPr>
          <w:rFonts w:ascii="BentonSans Book" w:eastAsia="Times New Roman" w:hAnsi="BentonSans Book" w:cs="Times New Roman"/>
          <w:szCs w:val="18"/>
        </w:rPr>
        <w:t xml:space="preserve"> </w:t>
      </w:r>
      <w:r w:rsidR="000F045C" w:rsidRPr="001042BD">
        <w:rPr>
          <w:rFonts w:ascii="BentonSans Book" w:eastAsia="Times New Roman" w:hAnsi="BentonSans Book" w:cs="Times New Roman"/>
          <w:szCs w:val="18"/>
        </w:rPr>
        <w:t>credit sta</w:t>
      </w:r>
      <w:r w:rsidR="00B42750">
        <w:rPr>
          <w:rFonts w:ascii="BentonSans Book" w:eastAsia="Times New Roman" w:hAnsi="BentonSans Book" w:cs="Times New Roman"/>
          <w:szCs w:val="18"/>
        </w:rPr>
        <w:t xml:space="preserve">ndards, terms and conditions. </w:t>
      </w:r>
      <w:r w:rsidR="007144CD" w:rsidRPr="00EF04A5">
        <w:rPr>
          <w:rFonts w:ascii="BentonSans Book" w:hAnsi="BentonSans Book"/>
        </w:rPr>
        <w:t xml:space="preserve">The main objectives of the survey are to: </w:t>
      </w:r>
      <w:proofErr w:type="spellStart"/>
      <w:r w:rsidR="007144CD" w:rsidRPr="00EF04A5">
        <w:rPr>
          <w:rFonts w:ascii="BentonSans Book" w:hAnsi="BentonSans Book"/>
        </w:rPr>
        <w:t>i</w:t>
      </w:r>
      <w:proofErr w:type="spellEnd"/>
      <w:r w:rsidR="007144CD" w:rsidRPr="00EF04A5">
        <w:rPr>
          <w:rFonts w:ascii="BentonSans Book" w:hAnsi="BentonSans Book"/>
        </w:rPr>
        <w:t xml:space="preserve">)  understand the drivers and constraints influencing credit growth, ii) enhance the understanding of the lending behavior and loan financing conditions among banks, and iii)  get an insight into the loan supply and demand factors from the banks’ perspective. </w:t>
      </w:r>
    </w:p>
    <w:p w14:paraId="0393B5AD" w14:textId="5200D5D0" w:rsidR="004A7818" w:rsidRDefault="000F045C" w:rsidP="00771C7E">
      <w:pPr>
        <w:spacing w:line="360" w:lineRule="auto"/>
        <w:jc w:val="both"/>
        <w:rPr>
          <w:rFonts w:ascii="BentonSans Book" w:eastAsia="Times New Roman" w:hAnsi="BentonSans Book" w:cs="Times New Roman"/>
          <w:szCs w:val="18"/>
        </w:rPr>
      </w:pPr>
      <w:r w:rsidRPr="001042BD">
        <w:rPr>
          <w:rFonts w:ascii="BentonSans Book" w:eastAsia="Times New Roman" w:hAnsi="BentonSans Book" w:cs="Times New Roman"/>
          <w:szCs w:val="18"/>
        </w:rPr>
        <w:t xml:space="preserve">The bank lending survey </w:t>
      </w:r>
      <w:proofErr w:type="gramStart"/>
      <w:r w:rsidRPr="001042BD">
        <w:rPr>
          <w:rFonts w:ascii="BentonSans Book" w:eastAsia="Times New Roman" w:hAnsi="BentonSans Book" w:cs="Times New Roman"/>
          <w:szCs w:val="18"/>
        </w:rPr>
        <w:t>is conducted</w:t>
      </w:r>
      <w:proofErr w:type="gramEnd"/>
      <w:r w:rsidRPr="001042BD">
        <w:rPr>
          <w:rFonts w:ascii="BentonSans Book" w:eastAsia="Times New Roman" w:hAnsi="BentonSans Book" w:cs="Times New Roman"/>
          <w:szCs w:val="18"/>
        </w:rPr>
        <w:t xml:space="preserve"> in the first month of each quarter (i.e., Ja</w:t>
      </w:r>
      <w:r w:rsidR="00997C3C">
        <w:rPr>
          <w:rFonts w:ascii="BentonSans Book" w:eastAsia="Times New Roman" w:hAnsi="BentonSans Book" w:cs="Times New Roman"/>
          <w:szCs w:val="18"/>
        </w:rPr>
        <w:t>nuary, April, July and October)</w:t>
      </w:r>
      <w:r w:rsidR="002208F4" w:rsidRPr="00EF04A5">
        <w:rPr>
          <w:rFonts w:ascii="BentonSans Book" w:hAnsi="BentonSans Book"/>
          <w:szCs w:val="18"/>
        </w:rPr>
        <w:t xml:space="preserve"> through a structured questionnaire that enables </w:t>
      </w:r>
      <w:r w:rsidR="004A7818">
        <w:rPr>
          <w:rFonts w:ascii="BentonSans Book" w:hAnsi="BentonSans Book"/>
          <w:szCs w:val="18"/>
        </w:rPr>
        <w:t xml:space="preserve">the </w:t>
      </w:r>
      <w:r w:rsidR="002208F4" w:rsidRPr="00EF04A5">
        <w:rPr>
          <w:rFonts w:ascii="BentonSans Book" w:hAnsi="BentonSans Book"/>
          <w:szCs w:val="18"/>
        </w:rPr>
        <w:t xml:space="preserve">BNR to </w:t>
      </w:r>
      <w:r w:rsidR="00340FEE">
        <w:rPr>
          <w:rFonts w:ascii="BentonSans Book" w:hAnsi="BentonSans Book"/>
        </w:rPr>
        <w:t xml:space="preserve">capture </w:t>
      </w:r>
      <w:r w:rsidR="00340FEE" w:rsidRPr="003E2B6A">
        <w:rPr>
          <w:rFonts w:ascii="BentonSans Book" w:hAnsi="BentonSans Book"/>
        </w:rPr>
        <w:t>the</w:t>
      </w:r>
      <w:r w:rsidR="00340FEE">
        <w:rPr>
          <w:rFonts w:ascii="BentonSans Book" w:hAnsi="BentonSans Book"/>
        </w:rPr>
        <w:t xml:space="preserve"> </w:t>
      </w:r>
      <w:r w:rsidR="004A7818">
        <w:rPr>
          <w:rFonts w:ascii="BentonSans Book" w:hAnsi="BentonSans Book"/>
        </w:rPr>
        <w:t xml:space="preserve">information on </w:t>
      </w:r>
      <w:r w:rsidR="00340FEE">
        <w:rPr>
          <w:rFonts w:ascii="BentonSans Book" w:hAnsi="BentonSans Book"/>
        </w:rPr>
        <w:t xml:space="preserve">dynamics </w:t>
      </w:r>
      <w:r w:rsidR="00340FEE" w:rsidRPr="00EF04A5">
        <w:rPr>
          <w:rFonts w:ascii="BentonSans Book" w:hAnsi="BentonSans Book"/>
        </w:rPr>
        <w:t xml:space="preserve">in the credit </w:t>
      </w:r>
      <w:r w:rsidR="004A7818" w:rsidRPr="00EF04A5">
        <w:rPr>
          <w:rFonts w:ascii="BentonSans Book" w:hAnsi="BentonSans Book"/>
        </w:rPr>
        <w:t>market</w:t>
      </w:r>
      <w:r w:rsidR="004A7818" w:rsidRPr="00EF04A5">
        <w:rPr>
          <w:rFonts w:ascii="BentonSans Book" w:hAnsi="BentonSans Book"/>
          <w:szCs w:val="18"/>
        </w:rPr>
        <w:t xml:space="preserve"> from</w:t>
      </w:r>
      <w:r w:rsidR="002208F4" w:rsidRPr="00EF04A5">
        <w:rPr>
          <w:rFonts w:ascii="BentonSans Book" w:hAnsi="BentonSans Book"/>
          <w:szCs w:val="18"/>
        </w:rPr>
        <w:t xml:space="preserve"> participating banks operating on Rwandan credit market. The questionnaire focuses on both the credit supply side (credit standards and terms and conditions for approving loans as stipulated by banks) and the credit demand side (demand for loans among households and enterprises as perceived by banks) and assesses the most significant factors underlying changes in supply and demand. </w:t>
      </w:r>
    </w:p>
    <w:p w14:paraId="3C3BC53C" w14:textId="14DC323D" w:rsidR="004A7818" w:rsidRDefault="002208F4" w:rsidP="00771C7E">
      <w:pPr>
        <w:spacing w:line="360" w:lineRule="auto"/>
        <w:jc w:val="both"/>
        <w:rPr>
          <w:rFonts w:ascii="BentonSans Book" w:hAnsi="BentonSans Book"/>
        </w:rPr>
      </w:pPr>
      <w:r w:rsidRPr="00EF04A5">
        <w:rPr>
          <w:rFonts w:ascii="BentonSans Book" w:hAnsi="BentonSans Book"/>
          <w:szCs w:val="18"/>
        </w:rPr>
        <w:t xml:space="preserve">The credit survey covers not only the observed evolution of credit standards and credit demand in the previous periods, but also the expected developments in near future. </w:t>
      </w:r>
      <w:proofErr w:type="gramStart"/>
      <w:r w:rsidR="004A7818">
        <w:rPr>
          <w:rFonts w:ascii="BentonSans Book" w:eastAsia="Times New Roman" w:hAnsi="BentonSans Book" w:cs="Times New Roman"/>
          <w:szCs w:val="18"/>
        </w:rPr>
        <w:t>T</w:t>
      </w:r>
      <w:r w:rsidR="004A7818" w:rsidRPr="001042BD">
        <w:rPr>
          <w:rFonts w:ascii="BentonSans Book" w:eastAsia="Times New Roman" w:hAnsi="BentonSans Book" w:cs="Times New Roman"/>
          <w:szCs w:val="18"/>
        </w:rPr>
        <w:t>here is a forward-looking element in the s</w:t>
      </w:r>
      <w:r w:rsidR="00997C3C">
        <w:rPr>
          <w:rFonts w:ascii="BentonSans Book" w:eastAsia="Times New Roman" w:hAnsi="BentonSans Book" w:cs="Times New Roman"/>
          <w:szCs w:val="18"/>
        </w:rPr>
        <w:t xml:space="preserve">urvey whereby banks </w:t>
      </w:r>
      <w:r w:rsidR="004A7818" w:rsidRPr="001042BD">
        <w:rPr>
          <w:rFonts w:ascii="BentonSans Book" w:eastAsia="Times New Roman" w:hAnsi="BentonSans Book" w:cs="Times New Roman"/>
          <w:szCs w:val="18"/>
        </w:rPr>
        <w:t>give their opinion on what changes they expect b</w:t>
      </w:r>
      <w:r w:rsidR="00997C3C">
        <w:rPr>
          <w:rFonts w:ascii="BentonSans Book" w:eastAsia="Times New Roman" w:hAnsi="BentonSans Book" w:cs="Times New Roman"/>
          <w:szCs w:val="18"/>
        </w:rPr>
        <w:t xml:space="preserve">oth in their own lending policies and in credit </w:t>
      </w:r>
      <w:r w:rsidR="004A7818" w:rsidRPr="001042BD">
        <w:rPr>
          <w:rFonts w:ascii="BentonSans Book" w:eastAsia="Times New Roman" w:hAnsi="BentonSans Book" w:cs="Times New Roman"/>
          <w:szCs w:val="18"/>
        </w:rPr>
        <w:t xml:space="preserve">demand </w:t>
      </w:r>
      <w:r w:rsidR="00997C3C">
        <w:rPr>
          <w:rFonts w:ascii="BentonSans Book" w:eastAsia="Times New Roman" w:hAnsi="BentonSans Book" w:cs="Times New Roman"/>
          <w:szCs w:val="18"/>
        </w:rPr>
        <w:t xml:space="preserve">and supply </w:t>
      </w:r>
      <w:r w:rsidR="004A7818" w:rsidRPr="001042BD">
        <w:rPr>
          <w:rFonts w:ascii="BentonSans Book" w:eastAsia="Times New Roman" w:hAnsi="BentonSans Book" w:cs="Times New Roman"/>
          <w:szCs w:val="18"/>
        </w:rPr>
        <w:t>during the following three months.</w:t>
      </w:r>
      <w:proofErr w:type="gramEnd"/>
      <w:r w:rsidR="004A7818" w:rsidRPr="001042BD">
        <w:rPr>
          <w:rFonts w:ascii="BentonSans Book" w:eastAsia="Times New Roman" w:hAnsi="BentonSans Book" w:cs="Times New Roman"/>
          <w:szCs w:val="18"/>
        </w:rPr>
        <w:t xml:space="preserve"> </w:t>
      </w:r>
      <w:r w:rsidRPr="00EF04A5">
        <w:rPr>
          <w:rFonts w:ascii="BentonSans Book" w:hAnsi="BentonSans Book"/>
        </w:rPr>
        <w:t xml:space="preserve">The questionnaire </w:t>
      </w:r>
      <w:proofErr w:type="gramStart"/>
      <w:r w:rsidRPr="00EF04A5">
        <w:rPr>
          <w:rFonts w:ascii="BentonSans Book" w:hAnsi="BentonSans Book"/>
        </w:rPr>
        <w:t>is addressed</w:t>
      </w:r>
      <w:proofErr w:type="gramEnd"/>
      <w:r w:rsidRPr="00EF04A5">
        <w:rPr>
          <w:rFonts w:ascii="BentonSans Book" w:hAnsi="BentonSans Book"/>
        </w:rPr>
        <w:t xml:space="preserve"> to senior credit officers of banks to indicate their banks’ position in terms of demand for credit, credit standards and terms and conditions.</w:t>
      </w:r>
    </w:p>
    <w:p w14:paraId="5182869C" w14:textId="5062FFCF" w:rsidR="007C36DE" w:rsidRPr="00771C7E" w:rsidRDefault="004A7818" w:rsidP="00771C7E">
      <w:pPr>
        <w:spacing w:line="360" w:lineRule="auto"/>
        <w:jc w:val="both"/>
        <w:rPr>
          <w:rFonts w:ascii="BentonSans Book" w:hAnsi="BentonSans Book"/>
        </w:rPr>
      </w:pPr>
      <w:r>
        <w:rPr>
          <w:rFonts w:ascii="BentonSans Book" w:hAnsi="BentonSans Book"/>
        </w:rPr>
        <w:t xml:space="preserve"> In line with the above</w:t>
      </w:r>
      <w:r w:rsidR="002208F4" w:rsidRPr="00EF04A5">
        <w:rPr>
          <w:rFonts w:ascii="BentonSans Book" w:hAnsi="BentonSans Book"/>
        </w:rPr>
        <w:t xml:space="preserve"> objectives, in this particular survey banks were asked about trends and developments in cre</w:t>
      </w:r>
      <w:r w:rsidR="00997C3C">
        <w:rPr>
          <w:rFonts w:ascii="BentonSans Book" w:hAnsi="BentonSans Book"/>
        </w:rPr>
        <w:t>dit conditions in the first six months of 2019 relative to the first six months 2018</w:t>
      </w:r>
      <w:r w:rsidR="002208F4" w:rsidRPr="00EF04A5">
        <w:rPr>
          <w:rFonts w:ascii="BentonSans Book" w:hAnsi="BentonSans Book"/>
        </w:rPr>
        <w:t>, and prospects for the subsequent</w:t>
      </w:r>
      <w:r w:rsidR="00997C3C">
        <w:rPr>
          <w:rFonts w:ascii="BentonSans Book" w:hAnsi="BentonSans Book"/>
        </w:rPr>
        <w:t xml:space="preserve"> quarter ending September 2019</w:t>
      </w:r>
      <w:r w:rsidR="002208F4">
        <w:rPr>
          <w:rFonts w:ascii="BentonSans Book" w:hAnsi="BentonSans Book"/>
        </w:rPr>
        <w:t>.</w:t>
      </w:r>
      <w:r w:rsidR="00771C7E">
        <w:rPr>
          <w:rFonts w:ascii="BentonSans Book" w:hAnsi="BentonSans Book"/>
        </w:rPr>
        <w:t xml:space="preserve"> </w:t>
      </w:r>
      <w:r w:rsidR="004D3EDC" w:rsidRPr="001042BD">
        <w:rPr>
          <w:rFonts w:ascii="BentonSans Book" w:eastAsia="Times New Roman" w:hAnsi="BentonSans Book" w:cs="Times New Roman"/>
          <w:szCs w:val="18"/>
        </w:rPr>
        <w:t xml:space="preserve">This report  captures </w:t>
      </w:r>
      <w:r w:rsidR="007C36DE" w:rsidRPr="001042BD">
        <w:rPr>
          <w:rFonts w:ascii="BentonSans Book" w:eastAsia="Times New Roman" w:hAnsi="BentonSans Book" w:cs="Times New Roman"/>
          <w:szCs w:val="18"/>
        </w:rPr>
        <w:t>the aggregated resul</w:t>
      </w:r>
      <w:r w:rsidR="007C36DE">
        <w:rPr>
          <w:rFonts w:ascii="BentonSans Book" w:eastAsia="Times New Roman" w:hAnsi="BentonSans Book" w:cs="Times New Roman"/>
          <w:szCs w:val="18"/>
        </w:rPr>
        <w:t>ts of replies from all banks</w:t>
      </w:r>
      <w:r w:rsidR="00FE28AF">
        <w:rPr>
          <w:rFonts w:ascii="BentonSans Book" w:eastAsia="Times New Roman" w:hAnsi="BentonSans Book" w:cs="Times New Roman"/>
          <w:szCs w:val="18"/>
        </w:rPr>
        <w:t xml:space="preserve"> and is </w:t>
      </w:r>
      <w:r w:rsidR="007C36DE" w:rsidRPr="003E2B6A">
        <w:rPr>
          <w:rFonts w:ascii="BentonSans Book" w:hAnsi="BentonSans Book"/>
        </w:rPr>
        <w:t xml:space="preserve">based on lenders’ own responses to the survey, and do not necessarily reflect the </w:t>
      </w:r>
      <w:r w:rsidR="007C36DE">
        <w:rPr>
          <w:rFonts w:ascii="BentonSans Book" w:hAnsi="BentonSans Book"/>
        </w:rPr>
        <w:t xml:space="preserve">NBR </w:t>
      </w:r>
      <w:r w:rsidR="007C36DE" w:rsidRPr="000F045C">
        <w:rPr>
          <w:rFonts w:ascii="BentonSans Book" w:hAnsi="BentonSans Book"/>
          <w:szCs w:val="18"/>
        </w:rPr>
        <w:t xml:space="preserve">views on credit conditions. </w:t>
      </w:r>
    </w:p>
    <w:p w14:paraId="55F0CD15" w14:textId="0AA4A60A" w:rsidR="004D3EDC" w:rsidRDefault="004D3EDC" w:rsidP="000F045C">
      <w:pPr>
        <w:spacing w:line="360" w:lineRule="auto"/>
        <w:jc w:val="both"/>
        <w:rPr>
          <w:rFonts w:ascii="BentonSans Book" w:eastAsia="Times New Roman" w:hAnsi="BentonSans Book" w:cs="Times New Roman"/>
          <w:szCs w:val="18"/>
        </w:rPr>
      </w:pPr>
    </w:p>
    <w:p w14:paraId="69829530" w14:textId="77777777" w:rsidR="00364E42" w:rsidRPr="001042BD" w:rsidRDefault="00364E42" w:rsidP="000F045C">
      <w:pPr>
        <w:spacing w:line="360" w:lineRule="auto"/>
        <w:jc w:val="both"/>
        <w:rPr>
          <w:rFonts w:ascii="BentonSans Book" w:eastAsia="Times New Roman" w:hAnsi="BentonSans Book" w:cs="Times New Roman"/>
          <w:szCs w:val="18"/>
        </w:rPr>
      </w:pPr>
    </w:p>
    <w:p w14:paraId="29BFFF79" w14:textId="77777777" w:rsidR="002208F4" w:rsidRPr="003E2B6A" w:rsidRDefault="002208F4" w:rsidP="002208F4">
      <w:pPr>
        <w:spacing w:line="360" w:lineRule="auto"/>
        <w:rPr>
          <w:rFonts w:ascii="BentonSans Book" w:hAnsi="BentonSans Book"/>
        </w:rPr>
      </w:pPr>
    </w:p>
    <w:p w14:paraId="1598A88F" w14:textId="2C5D79D3" w:rsidR="00E75BAA" w:rsidRPr="00B709F4" w:rsidRDefault="004929A2" w:rsidP="00870E7F">
      <w:pPr>
        <w:pStyle w:val="NormalWeb"/>
        <w:tabs>
          <w:tab w:val="center" w:pos="4770"/>
        </w:tabs>
        <w:spacing w:before="120" w:after="120" w:line="276" w:lineRule="auto"/>
        <w:rPr>
          <w:rFonts w:ascii="BentonSans Black" w:hAnsi="BentonSans Black"/>
          <w:b/>
          <w:sz w:val="22"/>
          <w:szCs w:val="22"/>
        </w:rPr>
      </w:pPr>
      <w:r w:rsidRPr="00B709F4">
        <w:rPr>
          <w:rFonts w:ascii="BentonSans Black" w:hAnsi="BentonSans Black"/>
          <w:b/>
          <w:sz w:val="22"/>
          <w:szCs w:val="22"/>
        </w:rPr>
        <w:t>2</w:t>
      </w:r>
      <w:r w:rsidR="00E75BAA" w:rsidRPr="00B709F4">
        <w:rPr>
          <w:rFonts w:ascii="BentonSans Black" w:hAnsi="BentonSans Black"/>
          <w:b/>
          <w:sz w:val="22"/>
          <w:szCs w:val="22"/>
        </w:rPr>
        <w:t xml:space="preserve">. </w:t>
      </w:r>
      <w:r w:rsidRPr="00B709F4">
        <w:rPr>
          <w:rFonts w:ascii="BentonSans Black" w:hAnsi="BentonSans Black"/>
          <w:b/>
          <w:sz w:val="22"/>
          <w:szCs w:val="22"/>
        </w:rPr>
        <w:t>The Bank Lending Survey Results</w:t>
      </w:r>
      <w:r w:rsidR="003D0C75" w:rsidRPr="00B709F4">
        <w:rPr>
          <w:rFonts w:ascii="BentonSans Black" w:hAnsi="BentonSans Black"/>
          <w:b/>
          <w:sz w:val="22"/>
          <w:szCs w:val="22"/>
        </w:rPr>
        <w:tab/>
      </w:r>
    </w:p>
    <w:p w14:paraId="1C87326B" w14:textId="215FA0DE" w:rsidR="00E75BAA" w:rsidRPr="00B709F4" w:rsidRDefault="008A2DA8" w:rsidP="00997B2F">
      <w:pPr>
        <w:pStyle w:val="NormalWeb"/>
        <w:spacing w:before="120" w:after="120" w:line="276" w:lineRule="auto"/>
        <w:rPr>
          <w:rFonts w:ascii="BentonSans Black" w:hAnsi="BentonSans Black"/>
          <w:b/>
          <w:sz w:val="22"/>
          <w:szCs w:val="22"/>
        </w:rPr>
      </w:pPr>
      <w:r>
        <w:rPr>
          <w:rFonts w:ascii="BentonSans Black" w:hAnsi="BentonSans Black"/>
          <w:b/>
          <w:sz w:val="22"/>
          <w:szCs w:val="22"/>
        </w:rPr>
        <w:t>2.1</w:t>
      </w:r>
      <w:r w:rsidR="003D33BD">
        <w:rPr>
          <w:rFonts w:ascii="BentonSans Black" w:hAnsi="BentonSans Black"/>
          <w:b/>
          <w:sz w:val="22"/>
          <w:szCs w:val="22"/>
        </w:rPr>
        <w:t xml:space="preserve"> </w:t>
      </w:r>
      <w:r w:rsidR="00E75BAA" w:rsidRPr="00B709F4">
        <w:rPr>
          <w:rFonts w:ascii="BentonSans Black" w:hAnsi="BentonSans Black"/>
          <w:b/>
          <w:sz w:val="22"/>
          <w:szCs w:val="22"/>
        </w:rPr>
        <w:t xml:space="preserve">The Demand </w:t>
      </w:r>
      <w:r w:rsidR="0017202F">
        <w:rPr>
          <w:rFonts w:ascii="BentonSans Black" w:hAnsi="BentonSans Black"/>
          <w:b/>
          <w:sz w:val="22"/>
          <w:szCs w:val="22"/>
        </w:rPr>
        <w:t>and Supply of Loans</w:t>
      </w:r>
    </w:p>
    <w:p w14:paraId="229883FC" w14:textId="1A5E3094" w:rsidR="00E24409" w:rsidRDefault="00CF7BA7" w:rsidP="005F298F">
      <w:pPr>
        <w:spacing w:line="360" w:lineRule="auto"/>
        <w:jc w:val="both"/>
        <w:rPr>
          <w:rFonts w:ascii="BentonSans Book" w:hAnsi="BentonSans Book"/>
        </w:rPr>
      </w:pPr>
      <w:r>
        <w:rPr>
          <w:rFonts w:ascii="BentonSans Book" w:hAnsi="BentonSans Book"/>
        </w:rPr>
        <w:t>The d</w:t>
      </w:r>
      <w:r w:rsidR="00843A55" w:rsidRPr="00CF7BA7">
        <w:rPr>
          <w:rFonts w:ascii="BentonSans Book" w:hAnsi="BentonSans Book"/>
        </w:rPr>
        <w:t>emand for credit refers to financing needs of new or existing customers of a bank as indicated by formal loan applications received during a specified period of time independent of whether these applications will result in a loan or not.</w:t>
      </w:r>
      <w:r>
        <w:rPr>
          <w:rFonts w:ascii="BentonSans Book" w:hAnsi="BentonSans Book"/>
        </w:rPr>
        <w:t xml:space="preserve"> At bank level, the demand for credit </w:t>
      </w:r>
      <w:r w:rsidR="008A2DA8">
        <w:rPr>
          <w:rFonts w:ascii="BentonSans Book" w:hAnsi="BentonSans Book"/>
        </w:rPr>
        <w:t xml:space="preserve">is </w:t>
      </w:r>
      <w:r w:rsidR="008A2DA8" w:rsidRPr="00CF7BA7">
        <w:rPr>
          <w:rFonts w:ascii="BentonSans Book" w:hAnsi="BentonSans Book"/>
        </w:rPr>
        <w:t>approximated</w:t>
      </w:r>
      <w:r>
        <w:rPr>
          <w:rFonts w:ascii="BentonSans Book" w:hAnsi="BentonSans Book"/>
        </w:rPr>
        <w:t xml:space="preserve"> </w:t>
      </w:r>
      <w:r w:rsidR="00843A55" w:rsidRPr="00CF7BA7">
        <w:rPr>
          <w:rFonts w:ascii="BentonSans Book" w:hAnsi="BentonSans Book"/>
        </w:rPr>
        <w:t xml:space="preserve">by adding up </w:t>
      </w:r>
      <w:r w:rsidR="008A2DA8" w:rsidRPr="00CF7BA7">
        <w:rPr>
          <w:rFonts w:ascii="BentonSans Book" w:hAnsi="BentonSans Book"/>
        </w:rPr>
        <w:t>all formal</w:t>
      </w:r>
      <w:r w:rsidR="00843A55" w:rsidRPr="00CF7BA7">
        <w:rPr>
          <w:rFonts w:ascii="BentonSans Book" w:hAnsi="BentonSans Book"/>
        </w:rPr>
        <w:t xml:space="preserve"> applications including digital loans applications received in all domestic branches during a specified </w:t>
      </w:r>
      <w:proofErr w:type="gramStart"/>
      <w:r w:rsidR="00843A55" w:rsidRPr="00CF7BA7">
        <w:rPr>
          <w:rFonts w:ascii="BentonSans Book" w:hAnsi="BentonSans Book"/>
        </w:rPr>
        <w:t>period of time</w:t>
      </w:r>
      <w:proofErr w:type="gramEnd"/>
      <w:r w:rsidR="00843A55" w:rsidRPr="00CF7BA7">
        <w:rPr>
          <w:rFonts w:ascii="BentonSans Book" w:hAnsi="BentonSans Book"/>
        </w:rPr>
        <w:t>.</w:t>
      </w:r>
      <w:r>
        <w:rPr>
          <w:rFonts w:ascii="BentonSans Book" w:hAnsi="BentonSans Book"/>
        </w:rPr>
        <w:t xml:space="preserve"> </w:t>
      </w:r>
    </w:p>
    <w:p w14:paraId="58DA544D" w14:textId="4447196E" w:rsidR="00AD67EA" w:rsidRDefault="00E24409" w:rsidP="0017202F">
      <w:pPr>
        <w:spacing w:line="360" w:lineRule="auto"/>
        <w:jc w:val="both"/>
        <w:rPr>
          <w:rFonts w:ascii="BentonSans Book" w:hAnsi="BentonSans Book"/>
        </w:rPr>
      </w:pPr>
      <w:r>
        <w:rPr>
          <w:rFonts w:ascii="BentonSans Book" w:hAnsi="BentonSans Book"/>
        </w:rPr>
        <w:t xml:space="preserve">During the period under review, </w:t>
      </w:r>
      <w:r w:rsidR="00CF7BA7">
        <w:rPr>
          <w:rFonts w:ascii="BentonSans Book" w:hAnsi="BentonSans Book"/>
        </w:rPr>
        <w:t xml:space="preserve">the demand for loans </w:t>
      </w:r>
      <w:r>
        <w:rPr>
          <w:rFonts w:ascii="BentonSans Book" w:hAnsi="BentonSans Book"/>
        </w:rPr>
        <w:t xml:space="preserve">continued to </w:t>
      </w:r>
      <w:proofErr w:type="gramStart"/>
      <w:r>
        <w:rPr>
          <w:rFonts w:ascii="BentonSans Book" w:hAnsi="BentonSans Book"/>
        </w:rPr>
        <w:t>increased</w:t>
      </w:r>
      <w:proofErr w:type="gramEnd"/>
      <w:r>
        <w:rPr>
          <w:rFonts w:ascii="BentonSans Book" w:hAnsi="BentonSans Book"/>
        </w:rPr>
        <w:t xml:space="preserve"> consistent with improved economic performance. </w:t>
      </w:r>
      <w:r w:rsidR="005F298F">
        <w:rPr>
          <w:rFonts w:ascii="BentonSans Book" w:hAnsi="BentonSans Book"/>
        </w:rPr>
        <w:t>The number of loan</w:t>
      </w:r>
      <w:r>
        <w:rPr>
          <w:rFonts w:ascii="BentonSans Book" w:hAnsi="BentonSans Book"/>
        </w:rPr>
        <w:t xml:space="preserve"> applications increased</w:t>
      </w:r>
      <w:r w:rsidR="005F298F">
        <w:rPr>
          <w:rFonts w:ascii="BentonSans Book" w:hAnsi="BentonSans Book"/>
        </w:rPr>
        <w:t xml:space="preserve"> by 52.4 </w:t>
      </w:r>
      <w:r w:rsidR="00CF7BA7">
        <w:rPr>
          <w:rFonts w:ascii="BentonSans Book" w:hAnsi="BentonSans Book"/>
        </w:rPr>
        <w:t xml:space="preserve"> </w:t>
      </w:r>
      <w:r>
        <w:rPr>
          <w:rFonts w:ascii="BentonSans Book" w:hAnsi="BentonSans Book"/>
        </w:rPr>
        <w:t xml:space="preserve">from </w:t>
      </w:r>
      <w:r w:rsidR="00EC4A2C">
        <w:rPr>
          <w:rFonts w:ascii="BentonSans Book" w:hAnsi="BentonSans Book"/>
        </w:rPr>
        <w:t xml:space="preserve">239,629 </w:t>
      </w:r>
      <w:r>
        <w:rPr>
          <w:rFonts w:ascii="BentonSans Book" w:hAnsi="BentonSans Book"/>
        </w:rPr>
        <w:t xml:space="preserve">in first half of 2018 to </w:t>
      </w:r>
      <w:r w:rsidR="00EC4A2C">
        <w:rPr>
          <w:rFonts w:ascii="BentonSans Book" w:hAnsi="BentonSans Book"/>
        </w:rPr>
        <w:t xml:space="preserve">365,129 </w:t>
      </w:r>
      <w:r>
        <w:rPr>
          <w:rFonts w:ascii="BentonSans Book" w:hAnsi="BentonSans Book"/>
        </w:rPr>
        <w:t xml:space="preserve">in first half of 2019, </w:t>
      </w:r>
      <w:r w:rsidR="005F298F">
        <w:rPr>
          <w:rFonts w:ascii="BentonSans Book" w:hAnsi="BentonSans Book"/>
        </w:rPr>
        <w:t xml:space="preserve">whereas </w:t>
      </w:r>
      <w:r>
        <w:rPr>
          <w:rFonts w:ascii="BentonSans Book" w:hAnsi="BentonSans Book"/>
        </w:rPr>
        <w:t xml:space="preserve">the value of loan application  applications increased by </w:t>
      </w:r>
      <w:r w:rsidR="00EC4A2C">
        <w:rPr>
          <w:rFonts w:ascii="BentonSans Book" w:hAnsi="BentonSans Book"/>
        </w:rPr>
        <w:t xml:space="preserve">28.3 </w:t>
      </w:r>
      <w:r>
        <w:rPr>
          <w:rFonts w:ascii="BentonSans Book" w:hAnsi="BentonSans Book"/>
        </w:rPr>
        <w:t xml:space="preserve">percent from FRW </w:t>
      </w:r>
      <w:r w:rsidR="00EC4A2C">
        <w:rPr>
          <w:rFonts w:ascii="BentonSans Book" w:hAnsi="BentonSans Book"/>
        </w:rPr>
        <w:t xml:space="preserve">505.7 </w:t>
      </w:r>
      <w:r>
        <w:rPr>
          <w:rFonts w:ascii="BentonSans Book" w:hAnsi="BentonSans Book"/>
        </w:rPr>
        <w:t xml:space="preserve">billion in </w:t>
      </w:r>
      <w:r w:rsidR="00345910">
        <w:rPr>
          <w:rFonts w:ascii="BentonSans Book" w:hAnsi="BentonSans Book"/>
        </w:rPr>
        <w:t>first</w:t>
      </w:r>
      <w:r>
        <w:rPr>
          <w:rFonts w:ascii="BentonSans Book" w:hAnsi="BentonSans Book"/>
        </w:rPr>
        <w:t xml:space="preserve"> </w:t>
      </w:r>
      <w:r w:rsidR="00345910">
        <w:rPr>
          <w:rFonts w:ascii="BentonSans Book" w:hAnsi="BentonSans Book"/>
        </w:rPr>
        <w:t>half</w:t>
      </w:r>
      <w:r>
        <w:rPr>
          <w:rFonts w:ascii="BentonSans Book" w:hAnsi="BentonSans Book"/>
        </w:rPr>
        <w:t xml:space="preserve"> of 2018 to </w:t>
      </w:r>
      <w:r w:rsidR="00EC4A2C">
        <w:rPr>
          <w:rFonts w:ascii="BentonSans Book" w:hAnsi="BentonSans Book"/>
        </w:rPr>
        <w:t xml:space="preserve">648.6 </w:t>
      </w:r>
      <w:r>
        <w:rPr>
          <w:rFonts w:ascii="BentonSans Book" w:hAnsi="BentonSans Book"/>
        </w:rPr>
        <w:t xml:space="preserve">FRW billion in first </w:t>
      </w:r>
      <w:r w:rsidR="00345910">
        <w:rPr>
          <w:rFonts w:ascii="BentonSans Book" w:hAnsi="BentonSans Book"/>
        </w:rPr>
        <w:t>half</w:t>
      </w:r>
      <w:r w:rsidR="005F298F">
        <w:rPr>
          <w:rFonts w:ascii="BentonSans Book" w:hAnsi="BentonSans Book"/>
        </w:rPr>
        <w:t xml:space="preserve"> of 2019. </w:t>
      </w:r>
      <w:r w:rsidR="00345910">
        <w:rPr>
          <w:rFonts w:ascii="BentonSans Book" w:hAnsi="BentonSans Book"/>
        </w:rPr>
        <w:t xml:space="preserve"> </w:t>
      </w:r>
      <w:r w:rsidR="005F298F">
        <w:rPr>
          <w:rFonts w:ascii="BentonSans Book" w:hAnsi="BentonSans Book"/>
        </w:rPr>
        <w:t>The growth of loans applica</w:t>
      </w:r>
      <w:r w:rsidR="006D182C">
        <w:rPr>
          <w:rFonts w:ascii="BentonSans Book" w:hAnsi="BentonSans Book"/>
        </w:rPr>
        <w:t xml:space="preserve">tion is largely attributed to the penetration of digital loans and improved macroeconomic </w:t>
      </w:r>
      <w:proofErr w:type="gramStart"/>
      <w:r w:rsidR="006D182C">
        <w:rPr>
          <w:rFonts w:ascii="BentonSans Book" w:hAnsi="BentonSans Book"/>
        </w:rPr>
        <w:t>conditions which</w:t>
      </w:r>
      <w:proofErr w:type="gramEnd"/>
      <w:r w:rsidR="006D182C">
        <w:rPr>
          <w:rFonts w:ascii="BentonSans Book" w:hAnsi="BentonSans Book"/>
        </w:rPr>
        <w:t xml:space="preserve"> in turn prompted more business opportunities. </w:t>
      </w:r>
    </w:p>
    <w:p w14:paraId="5C73056A" w14:textId="7343B572" w:rsidR="00905B32" w:rsidRDefault="005705AF" w:rsidP="0017202F">
      <w:pPr>
        <w:spacing w:line="360" w:lineRule="auto"/>
        <w:jc w:val="both"/>
        <w:rPr>
          <w:rFonts w:ascii="BentonSans Book" w:hAnsi="BentonSans Book"/>
        </w:rPr>
      </w:pPr>
      <w:r>
        <w:rPr>
          <w:rFonts w:ascii="BentonSans Book" w:hAnsi="BentonSans Book"/>
        </w:rPr>
        <w:t>Regarding credit</w:t>
      </w:r>
      <w:r w:rsidR="00AD67EA">
        <w:rPr>
          <w:rFonts w:ascii="BentonSans Book" w:hAnsi="BentonSans Book"/>
        </w:rPr>
        <w:t xml:space="preserve"> supply, t</w:t>
      </w:r>
      <w:r w:rsidR="00905B32" w:rsidRPr="003E2B6A">
        <w:rPr>
          <w:rFonts w:ascii="BentonSans Book" w:hAnsi="BentonSans Book"/>
        </w:rPr>
        <w:t>he new authorized loans</w:t>
      </w:r>
      <w:r>
        <w:rPr>
          <w:rFonts w:ascii="BentonSans Book" w:hAnsi="BentonSans Book"/>
        </w:rPr>
        <w:t xml:space="preserve"> that were </w:t>
      </w:r>
      <w:proofErr w:type="gramStart"/>
      <w:r>
        <w:rPr>
          <w:rFonts w:ascii="BentonSans Book" w:hAnsi="BentonSans Book"/>
        </w:rPr>
        <w:t xml:space="preserve">approved </w:t>
      </w:r>
      <w:r w:rsidR="00905B32" w:rsidRPr="003E2B6A">
        <w:rPr>
          <w:rFonts w:ascii="BentonSans Book" w:hAnsi="BentonSans Book"/>
        </w:rPr>
        <w:t xml:space="preserve"> by</w:t>
      </w:r>
      <w:proofErr w:type="gramEnd"/>
      <w:r w:rsidR="00905B32" w:rsidRPr="003E2B6A">
        <w:rPr>
          <w:rFonts w:ascii="BentonSans Book" w:hAnsi="BentonSans Book"/>
        </w:rPr>
        <w:t xml:space="preserve"> banks grew by </w:t>
      </w:r>
      <w:r>
        <w:rPr>
          <w:rFonts w:ascii="BentonSans Book" w:hAnsi="BentonSans Book"/>
        </w:rPr>
        <w:t>36.8</w:t>
      </w:r>
      <w:r w:rsidR="00905B32" w:rsidRPr="003E2B6A">
        <w:rPr>
          <w:rFonts w:ascii="BentonSans Book" w:hAnsi="BentonSans Book"/>
        </w:rPr>
        <w:t xml:space="preserve"> percent </w:t>
      </w:r>
      <w:r w:rsidR="00A96AFC">
        <w:rPr>
          <w:rFonts w:ascii="BentonSans Book" w:hAnsi="BentonSans Book"/>
        </w:rPr>
        <w:t xml:space="preserve">in value </w:t>
      </w:r>
      <w:r w:rsidR="00905B32" w:rsidRPr="003E2B6A">
        <w:rPr>
          <w:rFonts w:ascii="BentonSans Book" w:hAnsi="BentonSans Book"/>
        </w:rPr>
        <w:t>during the first</w:t>
      </w:r>
      <w:r>
        <w:rPr>
          <w:rFonts w:ascii="BentonSans Book" w:hAnsi="BentonSans Book"/>
        </w:rPr>
        <w:t xml:space="preserve"> half of 2019</w:t>
      </w:r>
      <w:r w:rsidR="00905B32" w:rsidRPr="003E2B6A">
        <w:rPr>
          <w:rFonts w:ascii="BentonSans Book" w:hAnsi="BentonSans Book"/>
        </w:rPr>
        <w:t xml:space="preserve"> compared to </w:t>
      </w:r>
      <w:r>
        <w:rPr>
          <w:rFonts w:ascii="BentonSans Book" w:hAnsi="BentonSans Book"/>
        </w:rPr>
        <w:t xml:space="preserve">a decline </w:t>
      </w:r>
      <w:r w:rsidR="00905B32" w:rsidRPr="003E2B6A">
        <w:rPr>
          <w:rFonts w:ascii="BentonSans Book" w:hAnsi="BentonSans Book"/>
        </w:rPr>
        <w:t xml:space="preserve">of </w:t>
      </w:r>
      <w:r>
        <w:rPr>
          <w:rFonts w:ascii="BentonSans Book" w:hAnsi="BentonSans Book"/>
        </w:rPr>
        <w:t>3.4</w:t>
      </w:r>
      <w:r w:rsidR="00905B32" w:rsidRPr="003E2B6A">
        <w:rPr>
          <w:rFonts w:ascii="BentonSans Book" w:hAnsi="BentonSans Book"/>
        </w:rPr>
        <w:t xml:space="preserve"> registered in the first </w:t>
      </w:r>
      <w:r>
        <w:rPr>
          <w:rFonts w:ascii="BentonSans Book" w:hAnsi="BentonSans Book"/>
        </w:rPr>
        <w:t>half of 2018</w:t>
      </w:r>
      <w:r w:rsidR="00905B32" w:rsidRPr="003E2B6A">
        <w:rPr>
          <w:rFonts w:ascii="BentonSans Book" w:hAnsi="BentonSans Book"/>
        </w:rPr>
        <w:t>. Be</w:t>
      </w:r>
      <w:r>
        <w:rPr>
          <w:rFonts w:ascii="BentonSans Book" w:hAnsi="BentonSans Book"/>
        </w:rPr>
        <w:t xml:space="preserve">tween January and June 2019, banks approved </w:t>
      </w:r>
      <w:r w:rsidR="00A96AFC" w:rsidRPr="00A96AFC">
        <w:rPr>
          <w:rFonts w:ascii="BentonSans Book" w:hAnsi="BentonSans Book"/>
        </w:rPr>
        <w:t xml:space="preserve">206,519 </w:t>
      </w:r>
      <w:r>
        <w:rPr>
          <w:rFonts w:ascii="BentonSans Book" w:hAnsi="BentonSans Book"/>
        </w:rPr>
        <w:t xml:space="preserve">loans worthy </w:t>
      </w:r>
      <w:proofErr w:type="gramStart"/>
      <w:r>
        <w:rPr>
          <w:rFonts w:ascii="BentonSans Book" w:hAnsi="BentonSans Book"/>
        </w:rPr>
        <w:t xml:space="preserve">FRW </w:t>
      </w:r>
      <w:r w:rsidR="00905B32" w:rsidRPr="003E2B6A">
        <w:rPr>
          <w:rFonts w:ascii="BentonSans Book" w:hAnsi="BentonSans Book"/>
        </w:rPr>
        <w:t xml:space="preserve"> </w:t>
      </w:r>
      <w:r w:rsidR="00A96AFC">
        <w:rPr>
          <w:rFonts w:ascii="BentonSans Book" w:hAnsi="BentonSans Book"/>
        </w:rPr>
        <w:t>551</w:t>
      </w:r>
      <w:proofErr w:type="gramEnd"/>
      <w:r w:rsidR="00A96AFC">
        <w:rPr>
          <w:rFonts w:ascii="BentonSans Book" w:hAnsi="BentonSans Book"/>
        </w:rPr>
        <w:t xml:space="preserve"> </w:t>
      </w:r>
      <w:r w:rsidR="00905B32" w:rsidRPr="003E2B6A">
        <w:rPr>
          <w:rFonts w:ascii="BentonSans Book" w:hAnsi="BentonSans Book"/>
        </w:rPr>
        <w:t>billion,</w:t>
      </w:r>
      <w:r>
        <w:rPr>
          <w:rFonts w:ascii="BentonSans Book" w:hAnsi="BentonSans Book"/>
        </w:rPr>
        <w:t xml:space="preserve"> compared to </w:t>
      </w:r>
      <w:r w:rsidR="00A96AFC" w:rsidRPr="00A96AFC">
        <w:rPr>
          <w:rFonts w:ascii="BentonSans Book" w:hAnsi="BentonSans Book"/>
        </w:rPr>
        <w:t>164,714</w:t>
      </w:r>
      <w:r w:rsidR="00A96AFC">
        <w:rPr>
          <w:rFonts w:ascii="BentonSans Book" w:hAnsi="BentonSans Book"/>
        </w:rPr>
        <w:t xml:space="preserve"> </w:t>
      </w:r>
      <w:r>
        <w:rPr>
          <w:rFonts w:ascii="BentonSans Book" w:hAnsi="BentonSans Book"/>
        </w:rPr>
        <w:t xml:space="preserve">loans worthy FRW </w:t>
      </w:r>
      <w:r w:rsidR="00A96AFC">
        <w:rPr>
          <w:rFonts w:ascii="BentonSans Book" w:hAnsi="BentonSans Book"/>
        </w:rPr>
        <w:t>402.7</w:t>
      </w:r>
      <w:r w:rsidR="00905B32" w:rsidRPr="003E2B6A">
        <w:rPr>
          <w:rFonts w:ascii="BentonSans Book" w:hAnsi="BentonSans Book"/>
        </w:rPr>
        <w:t xml:space="preserve"> billion that were approved during </w:t>
      </w:r>
      <w:r>
        <w:rPr>
          <w:rFonts w:ascii="BentonSans Book" w:hAnsi="BentonSans Book"/>
        </w:rPr>
        <w:t>the corresponding period of 2018</w:t>
      </w:r>
      <w:r w:rsidR="00905B32" w:rsidRPr="003E2B6A">
        <w:rPr>
          <w:rFonts w:ascii="BentonSans Book" w:hAnsi="BentonSans Book"/>
        </w:rPr>
        <w:t xml:space="preserve">. The </w:t>
      </w:r>
      <w:r w:rsidR="00A96AFC">
        <w:rPr>
          <w:rFonts w:ascii="BentonSans Book" w:hAnsi="BentonSans Book"/>
        </w:rPr>
        <w:t>acceleration</w:t>
      </w:r>
      <w:r w:rsidR="003F3310">
        <w:rPr>
          <w:rFonts w:ascii="BentonSans Book" w:hAnsi="BentonSans Book"/>
        </w:rPr>
        <w:t xml:space="preserve"> of new </w:t>
      </w:r>
      <w:r w:rsidR="00A96AFC">
        <w:rPr>
          <w:rFonts w:ascii="BentonSans Book" w:hAnsi="BentonSans Book"/>
        </w:rPr>
        <w:t>loans</w:t>
      </w:r>
      <w:r w:rsidR="003F3310">
        <w:rPr>
          <w:rFonts w:ascii="BentonSans Book" w:hAnsi="BentonSans Book"/>
        </w:rPr>
        <w:t xml:space="preserve"> </w:t>
      </w:r>
      <w:proofErr w:type="gramStart"/>
      <w:r w:rsidR="003F3310">
        <w:rPr>
          <w:rFonts w:ascii="BentonSans Book" w:hAnsi="BentonSans Book"/>
        </w:rPr>
        <w:t>is mainly explained</w:t>
      </w:r>
      <w:proofErr w:type="gramEnd"/>
      <w:r w:rsidR="003F3310">
        <w:rPr>
          <w:rFonts w:ascii="BentonSans Book" w:hAnsi="BentonSans Book"/>
        </w:rPr>
        <w:t xml:space="preserve"> by increased </w:t>
      </w:r>
      <w:r w:rsidR="00A96AFC">
        <w:rPr>
          <w:rFonts w:ascii="BentonSans Book" w:hAnsi="BentonSans Book"/>
        </w:rPr>
        <w:t xml:space="preserve">demand </w:t>
      </w:r>
      <w:proofErr w:type="spellStart"/>
      <w:r w:rsidR="00A96AFC">
        <w:rPr>
          <w:rFonts w:ascii="BentonSans Book" w:hAnsi="BentonSans Book"/>
        </w:rPr>
        <w:t>fro</w:t>
      </w:r>
      <w:proofErr w:type="spellEnd"/>
      <w:r w:rsidR="00A96AFC">
        <w:rPr>
          <w:rFonts w:ascii="BentonSans Book" w:hAnsi="BentonSans Book"/>
        </w:rPr>
        <w:t xml:space="preserve"> loans and increased </w:t>
      </w:r>
      <w:r w:rsidR="003F3310">
        <w:rPr>
          <w:rFonts w:ascii="BentonSans Book" w:hAnsi="BentonSans Book"/>
        </w:rPr>
        <w:t xml:space="preserve">lending appetite by banks. </w:t>
      </w:r>
      <w:r w:rsidR="00A96AFC">
        <w:rPr>
          <w:rFonts w:ascii="BentonSans Book" w:hAnsi="BentonSans Book"/>
        </w:rPr>
        <w:t>Overall</w:t>
      </w:r>
      <w:proofErr w:type="gramStart"/>
      <w:r w:rsidR="00A96AFC">
        <w:rPr>
          <w:rFonts w:ascii="BentonSans Book" w:hAnsi="BentonSans Book"/>
        </w:rPr>
        <w:t xml:space="preserve">, </w:t>
      </w:r>
      <w:r w:rsidR="00CA7BC0" w:rsidRPr="003E2B6A">
        <w:rPr>
          <w:rFonts w:ascii="BentonSans Book" w:hAnsi="BentonSans Book"/>
        </w:rPr>
        <w:t xml:space="preserve"> loans</w:t>
      </w:r>
      <w:proofErr w:type="gramEnd"/>
      <w:r w:rsidR="00CA7BC0" w:rsidRPr="003E2B6A">
        <w:rPr>
          <w:rFonts w:ascii="BentonSans Book" w:hAnsi="BentonSans Book"/>
        </w:rPr>
        <w:t xml:space="preserve"> rejection rate</w:t>
      </w:r>
      <w:r w:rsidR="00CA7BC0" w:rsidRPr="003E2B6A">
        <w:rPr>
          <w:rStyle w:val="FootnoteReference"/>
          <w:rFonts w:ascii="BentonSans Book" w:hAnsi="BentonSans Book"/>
        </w:rPr>
        <w:footnoteReference w:id="1"/>
      </w:r>
      <w:r w:rsidR="00CA7BC0">
        <w:rPr>
          <w:rFonts w:ascii="BentonSans Book" w:hAnsi="BentonSans Book"/>
        </w:rPr>
        <w:t xml:space="preserve"> in value reduced to 15 </w:t>
      </w:r>
      <w:r w:rsidR="00CA7BC0" w:rsidRPr="003E2B6A">
        <w:rPr>
          <w:rFonts w:ascii="BentonSans Book" w:hAnsi="BentonSans Book"/>
        </w:rPr>
        <w:t xml:space="preserve">percent in first </w:t>
      </w:r>
      <w:r w:rsidR="00CA7BC0">
        <w:rPr>
          <w:rFonts w:ascii="BentonSans Book" w:hAnsi="BentonSans Book"/>
        </w:rPr>
        <w:t xml:space="preserve">half of  2019 from 20.4 </w:t>
      </w:r>
      <w:r w:rsidR="00CA7BC0" w:rsidRPr="003E2B6A">
        <w:rPr>
          <w:rFonts w:ascii="BentonSans Book" w:hAnsi="BentonSans Book"/>
        </w:rPr>
        <w:t xml:space="preserve"> percent </w:t>
      </w:r>
      <w:r w:rsidR="00CA7BC0">
        <w:rPr>
          <w:rFonts w:ascii="BentonSans Book" w:hAnsi="BentonSans Book"/>
        </w:rPr>
        <w:t xml:space="preserve">in first half of 2018 as most </w:t>
      </w:r>
      <w:r w:rsidR="00A96AFC">
        <w:rPr>
          <w:rFonts w:ascii="BentonSans Book" w:hAnsi="BentonSans Book"/>
        </w:rPr>
        <w:t xml:space="preserve">banks kept their </w:t>
      </w:r>
      <w:r w:rsidR="00905B32" w:rsidRPr="003E2B6A">
        <w:rPr>
          <w:rFonts w:ascii="BentonSans Book" w:hAnsi="BentonSans Book"/>
        </w:rPr>
        <w:t>credit standards</w:t>
      </w:r>
      <w:r w:rsidR="00905B32" w:rsidRPr="003E2B6A">
        <w:rPr>
          <w:rStyle w:val="FootnoteReference"/>
          <w:rFonts w:ascii="BentonSans Book" w:hAnsi="BentonSans Book"/>
        </w:rPr>
        <w:footnoteReference w:id="2"/>
      </w:r>
      <w:r w:rsidR="00905B32" w:rsidRPr="003E2B6A">
        <w:rPr>
          <w:rFonts w:ascii="BentonSans Book" w:hAnsi="BentonSans Book"/>
        </w:rPr>
        <w:t xml:space="preserve">  </w:t>
      </w:r>
      <w:r w:rsidR="00A96AFC">
        <w:rPr>
          <w:rFonts w:ascii="BentonSans Book" w:hAnsi="BentonSans Book"/>
        </w:rPr>
        <w:t>relatively unchanged</w:t>
      </w:r>
      <w:r w:rsidR="00CA7BC0">
        <w:rPr>
          <w:rFonts w:ascii="BentonSans Book" w:hAnsi="BentonSans Book"/>
        </w:rPr>
        <w:t>.</w:t>
      </w:r>
      <w:r w:rsidR="00A96AFC">
        <w:rPr>
          <w:rFonts w:ascii="BentonSans Book" w:hAnsi="BentonSans Book"/>
        </w:rPr>
        <w:t xml:space="preserve"> </w:t>
      </w:r>
    </w:p>
    <w:p w14:paraId="429DF0AD" w14:textId="2B6AF6D7" w:rsidR="003F3310" w:rsidRDefault="003F3310" w:rsidP="0017202F">
      <w:pPr>
        <w:spacing w:line="360" w:lineRule="auto"/>
        <w:jc w:val="both"/>
        <w:rPr>
          <w:rFonts w:ascii="BentonSans Book" w:hAnsi="BentonSans Book"/>
        </w:rPr>
      </w:pPr>
    </w:p>
    <w:p w14:paraId="42EDF829" w14:textId="1C7F011C" w:rsidR="006D182C" w:rsidRDefault="006D182C" w:rsidP="0017202F">
      <w:pPr>
        <w:pStyle w:val="NormalWeb"/>
        <w:spacing w:before="120" w:after="120" w:line="360" w:lineRule="auto"/>
        <w:rPr>
          <w:rFonts w:ascii="BentonSans Black" w:hAnsi="BentonSans Black"/>
          <w:b/>
          <w:sz w:val="22"/>
          <w:szCs w:val="22"/>
        </w:rPr>
      </w:pPr>
    </w:p>
    <w:p w14:paraId="4A58000E" w14:textId="5DDEAF0A" w:rsidR="0017202F" w:rsidRPr="00B42802" w:rsidRDefault="0017202F" w:rsidP="0017202F">
      <w:pPr>
        <w:pStyle w:val="NormalWeb"/>
        <w:spacing w:before="120" w:after="120" w:line="360" w:lineRule="auto"/>
        <w:rPr>
          <w:rFonts w:ascii="BentonSans Black" w:hAnsi="BentonSans Black"/>
          <w:b/>
          <w:sz w:val="22"/>
          <w:szCs w:val="22"/>
        </w:rPr>
      </w:pPr>
      <w:r>
        <w:rPr>
          <w:rFonts w:ascii="BentonSans Black" w:hAnsi="BentonSans Black"/>
          <w:b/>
          <w:sz w:val="22"/>
          <w:szCs w:val="22"/>
        </w:rPr>
        <w:lastRenderedPageBreak/>
        <w:t>Table 1</w:t>
      </w:r>
      <w:r w:rsidRPr="00B709F4">
        <w:rPr>
          <w:rFonts w:ascii="BentonSans Black" w:hAnsi="BentonSans Black"/>
          <w:b/>
          <w:sz w:val="22"/>
          <w:szCs w:val="22"/>
        </w:rPr>
        <w:t xml:space="preserve">: </w:t>
      </w:r>
      <w:r>
        <w:rPr>
          <w:rFonts w:ascii="BentonSans Black" w:hAnsi="BentonSans Black"/>
          <w:b/>
          <w:sz w:val="22"/>
          <w:szCs w:val="22"/>
        </w:rPr>
        <w:t>Loan Applications in Value and Volume</w:t>
      </w:r>
    </w:p>
    <w:tbl>
      <w:tblPr>
        <w:tblW w:w="8450" w:type="dxa"/>
        <w:tblCellMar>
          <w:left w:w="0" w:type="dxa"/>
          <w:right w:w="0" w:type="dxa"/>
        </w:tblCellMar>
        <w:tblLook w:val="0600" w:firstRow="0" w:lastRow="0" w:firstColumn="0" w:lastColumn="0" w:noHBand="1" w:noVBand="1"/>
      </w:tblPr>
      <w:tblGrid>
        <w:gridCol w:w="2330"/>
        <w:gridCol w:w="1271"/>
        <w:gridCol w:w="1290"/>
        <w:gridCol w:w="1219"/>
        <w:gridCol w:w="1170"/>
        <w:gridCol w:w="1170"/>
      </w:tblGrid>
      <w:tr w:rsidR="0017202F" w:rsidRPr="0017202F" w14:paraId="5F12BE60" w14:textId="77777777" w:rsidTr="00964444">
        <w:trPr>
          <w:trHeight w:val="631"/>
        </w:trPr>
        <w:tc>
          <w:tcPr>
            <w:tcW w:w="233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27521FCC" w14:textId="10A53E6B" w:rsidR="0017202F" w:rsidRPr="0017202F" w:rsidRDefault="0017202F" w:rsidP="0017202F">
            <w:pPr>
              <w:rPr>
                <w:rFonts w:ascii="BentonSans Book" w:hAnsi="BentonSans Book"/>
                <w:b/>
              </w:rPr>
            </w:pPr>
            <w:r w:rsidRPr="0017202F">
              <w:rPr>
                <w:rFonts w:ascii="BentonSans Book" w:hAnsi="BentonSans Book"/>
                <w:b/>
              </w:rPr>
              <w:t> </w:t>
            </w:r>
            <w:r w:rsidRPr="0017202F">
              <w:rPr>
                <w:rFonts w:ascii="BentonSans Book" w:hAnsi="BentonSans Book"/>
                <w:b/>
                <w:bCs/>
              </w:rPr>
              <w:t>Loan Application</w:t>
            </w:r>
            <w:r>
              <w:rPr>
                <w:rFonts w:ascii="BentonSans Book" w:hAnsi="BentonSans Book"/>
                <w:b/>
                <w:bCs/>
              </w:rPr>
              <w:t>s</w:t>
            </w:r>
            <w:r w:rsidRPr="0017202F">
              <w:rPr>
                <w:rFonts w:ascii="BentonSans Book" w:hAnsi="BentonSans Book"/>
                <w:b/>
                <w:bCs/>
              </w:rPr>
              <w:t xml:space="preserve"> </w:t>
            </w:r>
          </w:p>
        </w:tc>
        <w:tc>
          <w:tcPr>
            <w:tcW w:w="127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149A89C9" w14:textId="5030518B" w:rsidR="0017202F" w:rsidRPr="0017202F" w:rsidRDefault="0017202F" w:rsidP="0017202F">
            <w:pPr>
              <w:jc w:val="center"/>
              <w:rPr>
                <w:rFonts w:ascii="BentonSans Book" w:hAnsi="BentonSans Book"/>
                <w:b/>
              </w:rPr>
            </w:pPr>
            <w:r>
              <w:rPr>
                <w:rFonts w:ascii="BentonSans Book" w:hAnsi="BentonSans Book"/>
                <w:b/>
                <w:bCs/>
              </w:rPr>
              <w:t>Ja</w:t>
            </w:r>
            <w:r w:rsidRPr="0017202F">
              <w:rPr>
                <w:rFonts w:ascii="BentonSans Book" w:hAnsi="BentonSans Book"/>
                <w:b/>
                <w:bCs/>
              </w:rPr>
              <w:t>n-</w:t>
            </w:r>
            <w:r>
              <w:rPr>
                <w:rFonts w:ascii="BentonSans Book" w:hAnsi="BentonSans Book"/>
                <w:b/>
                <w:bCs/>
              </w:rPr>
              <w:t xml:space="preserve">Jun </w:t>
            </w:r>
            <w:r w:rsidRPr="0017202F">
              <w:rPr>
                <w:rFonts w:ascii="BentonSans Book" w:hAnsi="BentonSans Book"/>
                <w:b/>
                <w:bCs/>
              </w:rPr>
              <w:t>17</w:t>
            </w:r>
          </w:p>
        </w:tc>
        <w:tc>
          <w:tcPr>
            <w:tcW w:w="129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07A4B219" w14:textId="080DA239" w:rsidR="0017202F" w:rsidRPr="0017202F" w:rsidRDefault="0017202F" w:rsidP="0017202F">
            <w:pPr>
              <w:jc w:val="center"/>
              <w:rPr>
                <w:rFonts w:ascii="BentonSans Book" w:hAnsi="BentonSans Book"/>
                <w:b/>
              </w:rPr>
            </w:pPr>
            <w:r>
              <w:rPr>
                <w:rFonts w:ascii="BentonSans Book" w:hAnsi="BentonSans Book"/>
                <w:b/>
                <w:bCs/>
              </w:rPr>
              <w:t>Jan-</w:t>
            </w:r>
            <w:r w:rsidRPr="0017202F">
              <w:rPr>
                <w:rFonts w:ascii="BentonSans Book" w:hAnsi="BentonSans Book"/>
                <w:b/>
                <w:bCs/>
              </w:rPr>
              <w:t>Jun</w:t>
            </w:r>
            <w:r>
              <w:rPr>
                <w:rFonts w:ascii="BentonSans Book" w:hAnsi="BentonSans Book"/>
                <w:b/>
                <w:bCs/>
              </w:rPr>
              <w:t xml:space="preserve"> </w:t>
            </w:r>
            <w:r w:rsidRPr="0017202F">
              <w:rPr>
                <w:rFonts w:ascii="BentonSans Book" w:hAnsi="BentonSans Book"/>
                <w:b/>
                <w:bCs/>
              </w:rPr>
              <w:t>18</w:t>
            </w:r>
          </w:p>
        </w:tc>
        <w:tc>
          <w:tcPr>
            <w:tcW w:w="1219"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545126E6" w14:textId="6C595BD6" w:rsidR="0017202F" w:rsidRPr="0017202F" w:rsidRDefault="0017202F" w:rsidP="0017202F">
            <w:pPr>
              <w:jc w:val="center"/>
              <w:rPr>
                <w:rFonts w:ascii="BentonSans Book" w:hAnsi="BentonSans Book"/>
                <w:b/>
              </w:rPr>
            </w:pPr>
            <w:r>
              <w:rPr>
                <w:rFonts w:ascii="BentonSans Book" w:hAnsi="BentonSans Book"/>
                <w:b/>
                <w:bCs/>
              </w:rPr>
              <w:t>Jan-Jun</w:t>
            </w:r>
            <w:r w:rsidRPr="0017202F">
              <w:rPr>
                <w:rFonts w:ascii="BentonSans Book" w:hAnsi="BentonSans Book"/>
                <w:b/>
                <w:bCs/>
              </w:rPr>
              <w:t>19</w:t>
            </w:r>
          </w:p>
        </w:tc>
        <w:tc>
          <w:tcPr>
            <w:tcW w:w="117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484E19C6" w14:textId="77777777" w:rsidR="0017202F" w:rsidRPr="0017202F" w:rsidRDefault="0017202F" w:rsidP="0017202F">
            <w:pPr>
              <w:jc w:val="center"/>
              <w:rPr>
                <w:rFonts w:ascii="BentonSans Book" w:hAnsi="BentonSans Book"/>
                <w:b/>
              </w:rPr>
            </w:pPr>
            <w:r w:rsidRPr="0017202F">
              <w:rPr>
                <w:rFonts w:ascii="BentonSans Book" w:hAnsi="BentonSans Book"/>
                <w:b/>
                <w:bCs/>
              </w:rPr>
              <w:t>% change 18/17</w:t>
            </w:r>
          </w:p>
        </w:tc>
        <w:tc>
          <w:tcPr>
            <w:tcW w:w="117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773FA10F" w14:textId="77777777" w:rsidR="0017202F" w:rsidRPr="0017202F" w:rsidRDefault="0017202F" w:rsidP="0017202F">
            <w:pPr>
              <w:jc w:val="center"/>
              <w:rPr>
                <w:rFonts w:ascii="BentonSans Book" w:hAnsi="BentonSans Book"/>
                <w:b/>
              </w:rPr>
            </w:pPr>
            <w:r w:rsidRPr="0017202F">
              <w:rPr>
                <w:rFonts w:ascii="BentonSans Book" w:hAnsi="BentonSans Book"/>
                <w:b/>
                <w:bCs/>
              </w:rPr>
              <w:t>% change 19/18</w:t>
            </w:r>
          </w:p>
        </w:tc>
      </w:tr>
      <w:tr w:rsidR="00ED2EBE" w:rsidRPr="0017202F" w14:paraId="4307C841" w14:textId="77777777" w:rsidTr="00964444">
        <w:trPr>
          <w:trHeight w:val="424"/>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D1E4183" w14:textId="77777777" w:rsidR="0017202F" w:rsidRPr="0017202F" w:rsidRDefault="0017202F" w:rsidP="0017202F">
            <w:pPr>
              <w:rPr>
                <w:rFonts w:ascii="BentonSans Book" w:hAnsi="BentonSans Book"/>
                <w:b/>
              </w:rPr>
            </w:pPr>
            <w:r w:rsidRPr="0017202F">
              <w:rPr>
                <w:rFonts w:ascii="BentonSans Book" w:hAnsi="BentonSans Book"/>
                <w:b/>
                <w:bCs/>
              </w:rPr>
              <w:t>Value (FRW billion)</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C43A39" w14:textId="77777777" w:rsidR="0017202F" w:rsidRPr="0017202F" w:rsidRDefault="0017202F" w:rsidP="003F3310">
            <w:pPr>
              <w:jc w:val="center"/>
              <w:rPr>
                <w:rFonts w:ascii="BentonSans Book" w:hAnsi="BentonSans Book"/>
                <w:b/>
              </w:rPr>
            </w:pPr>
            <w:r w:rsidRPr="0017202F">
              <w:rPr>
                <w:rFonts w:ascii="BentonSans Book" w:hAnsi="BentonSans Book"/>
                <w:b/>
              </w:rPr>
              <w:t>500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EFA6B75" w14:textId="77777777" w:rsidR="0017202F" w:rsidRPr="0017202F" w:rsidRDefault="0017202F" w:rsidP="003F3310">
            <w:pPr>
              <w:jc w:val="center"/>
              <w:rPr>
                <w:rFonts w:ascii="BentonSans Book" w:hAnsi="BentonSans Book"/>
                <w:b/>
              </w:rPr>
            </w:pPr>
            <w:r w:rsidRPr="0017202F">
              <w:rPr>
                <w:rFonts w:ascii="BentonSans Book" w:hAnsi="BentonSans Book"/>
                <w:b/>
              </w:rPr>
              <w:t>505.7</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F93DAB" w14:textId="77777777" w:rsidR="0017202F" w:rsidRPr="0017202F" w:rsidRDefault="0017202F" w:rsidP="003F3310">
            <w:pPr>
              <w:jc w:val="center"/>
              <w:rPr>
                <w:rFonts w:ascii="BentonSans Book" w:hAnsi="BentonSans Book"/>
                <w:b/>
              </w:rPr>
            </w:pPr>
            <w:r w:rsidRPr="0017202F">
              <w:rPr>
                <w:rFonts w:ascii="BentonSans Book" w:hAnsi="BentonSans Book"/>
                <w:b/>
              </w:rPr>
              <w:t>648.6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BFC4FB" w14:textId="77777777" w:rsidR="0017202F" w:rsidRPr="0017202F" w:rsidRDefault="0017202F" w:rsidP="003F3310">
            <w:pPr>
              <w:jc w:val="center"/>
              <w:rPr>
                <w:rFonts w:ascii="BentonSans Book" w:hAnsi="BentonSans Book"/>
                <w:b/>
              </w:rPr>
            </w:pPr>
            <w:r w:rsidRPr="0017202F">
              <w:rPr>
                <w:rFonts w:ascii="BentonSans Book" w:hAnsi="BentonSans Book"/>
                <w:b/>
                <w:bCs/>
              </w:rPr>
              <w:t>1.1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AF48E66" w14:textId="77777777" w:rsidR="0017202F" w:rsidRPr="0017202F" w:rsidRDefault="0017202F" w:rsidP="003F3310">
            <w:pPr>
              <w:jc w:val="center"/>
              <w:rPr>
                <w:rFonts w:ascii="BentonSans Book" w:hAnsi="BentonSans Book"/>
                <w:b/>
              </w:rPr>
            </w:pPr>
            <w:r w:rsidRPr="0017202F">
              <w:rPr>
                <w:rFonts w:ascii="BentonSans Book" w:hAnsi="BentonSans Book"/>
                <w:b/>
                <w:bCs/>
              </w:rPr>
              <w:t>28.3</w:t>
            </w:r>
          </w:p>
        </w:tc>
      </w:tr>
      <w:tr w:rsidR="00ED2EBE" w:rsidRPr="0017202F" w14:paraId="76AE7C6D" w14:textId="77777777" w:rsidTr="0017202F">
        <w:trPr>
          <w:trHeight w:val="414"/>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9A405B" w14:textId="77777777" w:rsidR="0017202F" w:rsidRPr="0017202F" w:rsidRDefault="0017202F" w:rsidP="0017202F">
            <w:pPr>
              <w:rPr>
                <w:rFonts w:ascii="BentonSans Book" w:hAnsi="BentonSans Book"/>
                <w:b/>
              </w:rPr>
            </w:pPr>
            <w:r w:rsidRPr="0017202F">
              <w:rPr>
                <w:rFonts w:ascii="BentonSans Book" w:hAnsi="BentonSans Book"/>
                <w:b/>
                <w:bCs/>
              </w:rPr>
              <w:t>Volume</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4A39542" w14:textId="77777777" w:rsidR="0017202F" w:rsidRPr="0017202F" w:rsidRDefault="0017202F" w:rsidP="003F3310">
            <w:pPr>
              <w:jc w:val="center"/>
              <w:rPr>
                <w:rFonts w:ascii="BentonSans Book" w:hAnsi="BentonSans Book"/>
                <w:b/>
              </w:rPr>
            </w:pPr>
            <w:r w:rsidRPr="0017202F">
              <w:rPr>
                <w:rFonts w:ascii="BentonSans Book" w:hAnsi="BentonSans Book"/>
                <w:b/>
              </w:rPr>
              <w:t>139,131</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A1F9A3" w14:textId="77777777" w:rsidR="0017202F" w:rsidRPr="0017202F" w:rsidRDefault="0017202F" w:rsidP="003F3310">
            <w:pPr>
              <w:jc w:val="center"/>
              <w:rPr>
                <w:rFonts w:ascii="BentonSans Book" w:hAnsi="BentonSans Book"/>
                <w:b/>
              </w:rPr>
            </w:pPr>
            <w:r w:rsidRPr="0017202F">
              <w:rPr>
                <w:rFonts w:ascii="BentonSans Book" w:hAnsi="BentonSans Book"/>
                <w:b/>
              </w:rPr>
              <w:t>239,629</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AF2DB4C" w14:textId="77777777" w:rsidR="0017202F" w:rsidRPr="0017202F" w:rsidRDefault="0017202F" w:rsidP="003F3310">
            <w:pPr>
              <w:jc w:val="center"/>
              <w:rPr>
                <w:rFonts w:ascii="BentonSans Book" w:hAnsi="BentonSans Book"/>
                <w:b/>
              </w:rPr>
            </w:pPr>
            <w:r w:rsidRPr="0017202F">
              <w:rPr>
                <w:rFonts w:ascii="BentonSans Book" w:hAnsi="BentonSans Book"/>
                <w:b/>
              </w:rPr>
              <w:t>365,129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D3E0D4" w14:textId="77777777" w:rsidR="0017202F" w:rsidRPr="0017202F" w:rsidRDefault="0017202F" w:rsidP="003F3310">
            <w:pPr>
              <w:jc w:val="center"/>
              <w:rPr>
                <w:rFonts w:ascii="BentonSans Book" w:hAnsi="BentonSans Book"/>
                <w:b/>
              </w:rPr>
            </w:pPr>
            <w:r w:rsidRPr="0017202F">
              <w:rPr>
                <w:rFonts w:ascii="BentonSans Book" w:hAnsi="BentonSans Book"/>
                <w:b/>
                <w:bCs/>
              </w:rPr>
              <w:t>72.2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650646" w14:textId="77777777" w:rsidR="0017202F" w:rsidRPr="0017202F" w:rsidRDefault="0017202F" w:rsidP="003F3310">
            <w:pPr>
              <w:jc w:val="center"/>
              <w:rPr>
                <w:rFonts w:ascii="BentonSans Book" w:hAnsi="BentonSans Book"/>
                <w:b/>
              </w:rPr>
            </w:pPr>
            <w:r w:rsidRPr="0017202F">
              <w:rPr>
                <w:rFonts w:ascii="BentonSans Book" w:hAnsi="BentonSans Book"/>
                <w:b/>
                <w:bCs/>
              </w:rPr>
              <w:t>52.4</w:t>
            </w:r>
          </w:p>
        </w:tc>
      </w:tr>
      <w:tr w:rsidR="0017202F" w:rsidRPr="0017202F" w14:paraId="07A7B225" w14:textId="77777777" w:rsidTr="00964444">
        <w:trPr>
          <w:trHeight w:val="568"/>
        </w:trPr>
        <w:tc>
          <w:tcPr>
            <w:tcW w:w="233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1EE84900" w14:textId="4220B68F" w:rsidR="0017202F" w:rsidRPr="0017202F" w:rsidRDefault="0017202F" w:rsidP="0017202F">
            <w:pPr>
              <w:rPr>
                <w:rFonts w:ascii="BentonSans Book" w:hAnsi="BentonSans Book"/>
                <w:b/>
              </w:rPr>
            </w:pPr>
            <w:r>
              <w:rPr>
                <w:rFonts w:ascii="BentonSans Book" w:hAnsi="BentonSans Book"/>
                <w:b/>
                <w:bCs/>
              </w:rPr>
              <w:t>Loan approved</w:t>
            </w:r>
          </w:p>
        </w:tc>
        <w:tc>
          <w:tcPr>
            <w:tcW w:w="127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504551F3" w14:textId="19CD21E8" w:rsidR="0017202F" w:rsidRPr="0017202F" w:rsidRDefault="0017202F" w:rsidP="0017202F">
            <w:pPr>
              <w:jc w:val="center"/>
              <w:rPr>
                <w:rFonts w:ascii="BentonSans Book" w:hAnsi="BentonSans Book"/>
                <w:b/>
              </w:rPr>
            </w:pPr>
            <w:r>
              <w:rPr>
                <w:rFonts w:ascii="BentonSans Book" w:hAnsi="BentonSans Book"/>
                <w:b/>
                <w:bCs/>
              </w:rPr>
              <w:t>Ja</w:t>
            </w:r>
            <w:r w:rsidRPr="0017202F">
              <w:rPr>
                <w:rFonts w:ascii="BentonSans Book" w:hAnsi="BentonSans Book"/>
                <w:b/>
                <w:bCs/>
              </w:rPr>
              <w:t>n-</w:t>
            </w:r>
            <w:r>
              <w:rPr>
                <w:rFonts w:ascii="BentonSans Book" w:hAnsi="BentonSans Book"/>
                <w:b/>
                <w:bCs/>
              </w:rPr>
              <w:t xml:space="preserve">Jun </w:t>
            </w:r>
            <w:r w:rsidRPr="0017202F">
              <w:rPr>
                <w:rFonts w:ascii="BentonSans Book" w:hAnsi="BentonSans Book"/>
                <w:b/>
                <w:bCs/>
              </w:rPr>
              <w:t>17</w:t>
            </w:r>
          </w:p>
        </w:tc>
        <w:tc>
          <w:tcPr>
            <w:tcW w:w="129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0E65C606" w14:textId="5DD955F8" w:rsidR="0017202F" w:rsidRPr="0017202F" w:rsidRDefault="0017202F" w:rsidP="0017202F">
            <w:pPr>
              <w:jc w:val="center"/>
              <w:rPr>
                <w:rFonts w:ascii="BentonSans Book" w:hAnsi="BentonSans Book"/>
                <w:b/>
              </w:rPr>
            </w:pPr>
            <w:r>
              <w:rPr>
                <w:rFonts w:ascii="BentonSans Book" w:hAnsi="BentonSans Book"/>
                <w:b/>
                <w:bCs/>
              </w:rPr>
              <w:t>Jan-</w:t>
            </w:r>
            <w:r w:rsidRPr="0017202F">
              <w:rPr>
                <w:rFonts w:ascii="BentonSans Book" w:hAnsi="BentonSans Book"/>
                <w:b/>
                <w:bCs/>
              </w:rPr>
              <w:t>Jun</w:t>
            </w:r>
            <w:r>
              <w:rPr>
                <w:rFonts w:ascii="BentonSans Book" w:hAnsi="BentonSans Book"/>
                <w:b/>
                <w:bCs/>
              </w:rPr>
              <w:t xml:space="preserve"> </w:t>
            </w:r>
            <w:r w:rsidRPr="0017202F">
              <w:rPr>
                <w:rFonts w:ascii="BentonSans Book" w:hAnsi="BentonSans Book"/>
                <w:b/>
                <w:bCs/>
              </w:rPr>
              <w:t>18</w:t>
            </w:r>
          </w:p>
        </w:tc>
        <w:tc>
          <w:tcPr>
            <w:tcW w:w="1219"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716A997C" w14:textId="78FE61CD" w:rsidR="0017202F" w:rsidRPr="0017202F" w:rsidRDefault="0017202F" w:rsidP="0017202F">
            <w:pPr>
              <w:jc w:val="center"/>
              <w:rPr>
                <w:rFonts w:ascii="BentonSans Book" w:hAnsi="BentonSans Book"/>
                <w:b/>
              </w:rPr>
            </w:pPr>
            <w:r>
              <w:rPr>
                <w:rFonts w:ascii="BentonSans Book" w:hAnsi="BentonSans Book"/>
                <w:b/>
                <w:bCs/>
              </w:rPr>
              <w:t>Jan-Jun</w:t>
            </w:r>
            <w:r w:rsidRPr="0017202F">
              <w:rPr>
                <w:rFonts w:ascii="BentonSans Book" w:hAnsi="BentonSans Book"/>
                <w:b/>
                <w:bCs/>
              </w:rPr>
              <w:t>19</w:t>
            </w:r>
          </w:p>
        </w:tc>
        <w:tc>
          <w:tcPr>
            <w:tcW w:w="117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218F2AED" w14:textId="22904C87" w:rsidR="0017202F" w:rsidRPr="0017202F" w:rsidRDefault="0017202F" w:rsidP="0017202F">
            <w:pPr>
              <w:jc w:val="center"/>
              <w:rPr>
                <w:rFonts w:ascii="BentonSans Book" w:hAnsi="BentonSans Book"/>
                <w:b/>
              </w:rPr>
            </w:pPr>
            <w:r w:rsidRPr="0017202F">
              <w:rPr>
                <w:rFonts w:ascii="BentonSans Book" w:hAnsi="BentonSans Book"/>
                <w:b/>
                <w:bCs/>
              </w:rPr>
              <w:t>% change 18/17</w:t>
            </w:r>
          </w:p>
        </w:tc>
        <w:tc>
          <w:tcPr>
            <w:tcW w:w="117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0C6E89C3" w14:textId="3E114598" w:rsidR="0017202F" w:rsidRPr="0017202F" w:rsidRDefault="0017202F" w:rsidP="0017202F">
            <w:pPr>
              <w:jc w:val="center"/>
              <w:rPr>
                <w:rFonts w:ascii="BentonSans Book" w:hAnsi="BentonSans Book"/>
                <w:b/>
              </w:rPr>
            </w:pPr>
            <w:r w:rsidRPr="0017202F">
              <w:rPr>
                <w:rFonts w:ascii="BentonSans Book" w:hAnsi="BentonSans Book"/>
                <w:b/>
                <w:bCs/>
              </w:rPr>
              <w:t>% change 19/18</w:t>
            </w:r>
          </w:p>
        </w:tc>
      </w:tr>
      <w:tr w:rsidR="00ED2EBE" w:rsidRPr="0017202F" w14:paraId="15962635" w14:textId="77777777" w:rsidTr="00964444">
        <w:trPr>
          <w:trHeight w:val="352"/>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769E0AD" w14:textId="77777777" w:rsidR="0017202F" w:rsidRPr="0017202F" w:rsidRDefault="0017202F" w:rsidP="0017202F">
            <w:pPr>
              <w:rPr>
                <w:rFonts w:ascii="BentonSans Book" w:hAnsi="BentonSans Book"/>
                <w:b/>
              </w:rPr>
            </w:pPr>
            <w:r w:rsidRPr="0017202F">
              <w:rPr>
                <w:rFonts w:ascii="BentonSans Book" w:hAnsi="BentonSans Book"/>
                <w:b/>
                <w:bCs/>
              </w:rPr>
              <w:t>Value (FRW billion)</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DD1F45" w14:textId="77777777" w:rsidR="0017202F" w:rsidRPr="0017202F" w:rsidRDefault="0017202F" w:rsidP="003F3310">
            <w:pPr>
              <w:jc w:val="center"/>
              <w:rPr>
                <w:rFonts w:ascii="BentonSans Book" w:hAnsi="BentonSans Book"/>
                <w:b/>
              </w:rPr>
            </w:pPr>
            <w:r w:rsidRPr="0017202F">
              <w:rPr>
                <w:rFonts w:ascii="BentonSans Book" w:hAnsi="BentonSans Book"/>
                <w:b/>
              </w:rPr>
              <w:t>416.7</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5056C6A" w14:textId="77777777" w:rsidR="0017202F" w:rsidRPr="0017202F" w:rsidRDefault="0017202F" w:rsidP="003F3310">
            <w:pPr>
              <w:jc w:val="center"/>
              <w:rPr>
                <w:rFonts w:ascii="BentonSans Book" w:hAnsi="BentonSans Book"/>
                <w:b/>
              </w:rPr>
            </w:pPr>
            <w:r w:rsidRPr="0017202F">
              <w:rPr>
                <w:rFonts w:ascii="BentonSans Book" w:hAnsi="BentonSans Book"/>
                <w:b/>
              </w:rPr>
              <w:t>402.7</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1CE9E4" w14:textId="77777777" w:rsidR="0017202F" w:rsidRPr="0017202F" w:rsidRDefault="0017202F" w:rsidP="003F3310">
            <w:pPr>
              <w:jc w:val="center"/>
              <w:rPr>
                <w:rFonts w:ascii="BentonSans Book" w:hAnsi="BentonSans Book"/>
                <w:b/>
              </w:rPr>
            </w:pPr>
            <w:r w:rsidRPr="0017202F">
              <w:rPr>
                <w:rFonts w:ascii="BentonSans Book" w:hAnsi="BentonSans Book"/>
                <w:b/>
              </w:rPr>
              <w:t>551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C4578F7" w14:textId="77777777" w:rsidR="0017202F" w:rsidRPr="0017202F" w:rsidRDefault="0017202F" w:rsidP="003F3310">
            <w:pPr>
              <w:jc w:val="center"/>
              <w:rPr>
                <w:rFonts w:ascii="BentonSans Book" w:hAnsi="BentonSans Book"/>
                <w:b/>
              </w:rPr>
            </w:pPr>
            <w:r w:rsidRPr="0017202F">
              <w:rPr>
                <w:rFonts w:ascii="BentonSans Book" w:hAnsi="BentonSans Book"/>
                <w:b/>
                <w:bCs/>
              </w:rPr>
              <w:t>-3.4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03E6ADB" w14:textId="77777777" w:rsidR="0017202F" w:rsidRPr="0017202F" w:rsidRDefault="0017202F" w:rsidP="003F3310">
            <w:pPr>
              <w:jc w:val="center"/>
              <w:rPr>
                <w:rFonts w:ascii="BentonSans Book" w:hAnsi="BentonSans Book"/>
                <w:b/>
              </w:rPr>
            </w:pPr>
            <w:r w:rsidRPr="0017202F">
              <w:rPr>
                <w:rFonts w:ascii="BentonSans Book" w:hAnsi="BentonSans Book"/>
                <w:b/>
                <w:bCs/>
              </w:rPr>
              <w:t>36.8</w:t>
            </w:r>
          </w:p>
        </w:tc>
      </w:tr>
      <w:tr w:rsidR="00ED2EBE" w:rsidRPr="0017202F" w14:paraId="5A638827" w14:textId="77777777" w:rsidTr="0017202F">
        <w:trPr>
          <w:trHeight w:val="414"/>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448024" w14:textId="77777777" w:rsidR="0017202F" w:rsidRPr="0017202F" w:rsidRDefault="0017202F" w:rsidP="0017202F">
            <w:pPr>
              <w:rPr>
                <w:rFonts w:ascii="BentonSans Book" w:hAnsi="BentonSans Book"/>
                <w:b/>
              </w:rPr>
            </w:pPr>
            <w:r w:rsidRPr="0017202F">
              <w:rPr>
                <w:rFonts w:ascii="BentonSans Book" w:hAnsi="BentonSans Book"/>
                <w:b/>
                <w:bCs/>
              </w:rPr>
              <w:t>Volume</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F4CA75" w14:textId="77777777" w:rsidR="0017202F" w:rsidRPr="0017202F" w:rsidRDefault="0017202F" w:rsidP="003F3310">
            <w:pPr>
              <w:jc w:val="center"/>
              <w:rPr>
                <w:rFonts w:ascii="BentonSans Book" w:hAnsi="BentonSans Book"/>
                <w:b/>
              </w:rPr>
            </w:pPr>
            <w:r w:rsidRPr="0017202F">
              <w:rPr>
                <w:rFonts w:ascii="BentonSans Book" w:hAnsi="BentonSans Book"/>
                <w:b/>
              </w:rPr>
              <w:t>134,330</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07BB21" w14:textId="77777777" w:rsidR="0017202F" w:rsidRPr="0017202F" w:rsidRDefault="0017202F" w:rsidP="003F3310">
            <w:pPr>
              <w:jc w:val="center"/>
              <w:rPr>
                <w:rFonts w:ascii="BentonSans Book" w:hAnsi="BentonSans Book"/>
                <w:b/>
              </w:rPr>
            </w:pPr>
            <w:r w:rsidRPr="0017202F">
              <w:rPr>
                <w:rFonts w:ascii="BentonSans Book" w:hAnsi="BentonSans Book"/>
                <w:b/>
              </w:rPr>
              <w:t>164,714</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A2A58D" w14:textId="77777777" w:rsidR="0017202F" w:rsidRPr="0017202F" w:rsidRDefault="0017202F" w:rsidP="003F3310">
            <w:pPr>
              <w:jc w:val="center"/>
              <w:rPr>
                <w:rFonts w:ascii="BentonSans Book" w:hAnsi="BentonSans Book"/>
                <w:b/>
              </w:rPr>
            </w:pPr>
            <w:r w:rsidRPr="0017202F">
              <w:rPr>
                <w:rFonts w:ascii="BentonSans Book" w:hAnsi="BentonSans Book"/>
                <w:b/>
              </w:rPr>
              <w:t>206,519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B5CD6B" w14:textId="77777777" w:rsidR="0017202F" w:rsidRPr="0017202F" w:rsidRDefault="0017202F" w:rsidP="003F3310">
            <w:pPr>
              <w:jc w:val="center"/>
              <w:rPr>
                <w:rFonts w:ascii="BentonSans Book" w:hAnsi="BentonSans Book"/>
                <w:b/>
              </w:rPr>
            </w:pPr>
            <w:r w:rsidRPr="0017202F">
              <w:rPr>
                <w:rFonts w:ascii="BentonSans Book" w:hAnsi="BentonSans Book"/>
                <w:b/>
                <w:bCs/>
              </w:rPr>
              <w:t>22.6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964862" w14:textId="77777777" w:rsidR="0017202F" w:rsidRPr="0017202F" w:rsidRDefault="0017202F" w:rsidP="003F3310">
            <w:pPr>
              <w:jc w:val="center"/>
              <w:rPr>
                <w:rFonts w:ascii="BentonSans Book" w:hAnsi="BentonSans Book"/>
                <w:b/>
              </w:rPr>
            </w:pPr>
            <w:r w:rsidRPr="0017202F">
              <w:rPr>
                <w:rFonts w:ascii="BentonSans Book" w:hAnsi="BentonSans Book"/>
                <w:b/>
                <w:bCs/>
              </w:rPr>
              <w:t>25.4</w:t>
            </w:r>
          </w:p>
        </w:tc>
      </w:tr>
      <w:tr w:rsidR="0017202F" w:rsidRPr="0017202F" w14:paraId="0B8B1BB8" w14:textId="77777777" w:rsidTr="00964444">
        <w:trPr>
          <w:trHeight w:val="856"/>
        </w:trPr>
        <w:tc>
          <w:tcPr>
            <w:tcW w:w="233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376B34FC" w14:textId="77777777" w:rsidR="0017202F" w:rsidRPr="0017202F" w:rsidRDefault="0017202F" w:rsidP="0017202F">
            <w:pPr>
              <w:rPr>
                <w:rFonts w:ascii="BentonSans Book" w:hAnsi="BentonSans Book"/>
                <w:b/>
              </w:rPr>
            </w:pPr>
            <w:r w:rsidRPr="0017202F">
              <w:rPr>
                <w:rFonts w:ascii="BentonSans Book" w:hAnsi="BentonSans Book"/>
                <w:b/>
              </w:rPr>
              <w:t> </w:t>
            </w:r>
            <w:r w:rsidRPr="0017202F">
              <w:rPr>
                <w:rFonts w:ascii="BentonSans Book" w:hAnsi="BentonSans Book"/>
                <w:b/>
                <w:bCs/>
              </w:rPr>
              <w:t>Loan rejection rate</w:t>
            </w:r>
          </w:p>
        </w:tc>
        <w:tc>
          <w:tcPr>
            <w:tcW w:w="1271"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26DC78D9" w14:textId="24CC4ECD" w:rsidR="0017202F" w:rsidRPr="0017202F" w:rsidRDefault="0017202F" w:rsidP="0017202F">
            <w:pPr>
              <w:jc w:val="center"/>
              <w:rPr>
                <w:rFonts w:ascii="BentonSans Book" w:hAnsi="BentonSans Book"/>
                <w:b/>
              </w:rPr>
            </w:pPr>
            <w:r>
              <w:rPr>
                <w:rFonts w:ascii="BentonSans Book" w:hAnsi="BentonSans Book"/>
                <w:b/>
                <w:bCs/>
              </w:rPr>
              <w:t>Ja</w:t>
            </w:r>
            <w:r w:rsidRPr="0017202F">
              <w:rPr>
                <w:rFonts w:ascii="BentonSans Book" w:hAnsi="BentonSans Book"/>
                <w:b/>
                <w:bCs/>
              </w:rPr>
              <w:t>n-</w:t>
            </w:r>
            <w:r>
              <w:rPr>
                <w:rFonts w:ascii="BentonSans Book" w:hAnsi="BentonSans Book"/>
                <w:b/>
                <w:bCs/>
              </w:rPr>
              <w:t xml:space="preserve">Jun </w:t>
            </w:r>
            <w:r w:rsidRPr="0017202F">
              <w:rPr>
                <w:rFonts w:ascii="BentonSans Book" w:hAnsi="BentonSans Book"/>
                <w:b/>
                <w:bCs/>
              </w:rPr>
              <w:t>17</w:t>
            </w:r>
          </w:p>
        </w:tc>
        <w:tc>
          <w:tcPr>
            <w:tcW w:w="129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7314D361" w14:textId="5B33D248" w:rsidR="0017202F" w:rsidRPr="0017202F" w:rsidRDefault="0017202F" w:rsidP="0017202F">
            <w:pPr>
              <w:jc w:val="center"/>
              <w:rPr>
                <w:rFonts w:ascii="BentonSans Book" w:hAnsi="BentonSans Book"/>
                <w:b/>
              </w:rPr>
            </w:pPr>
            <w:r>
              <w:rPr>
                <w:rFonts w:ascii="BentonSans Book" w:hAnsi="BentonSans Book"/>
                <w:b/>
                <w:bCs/>
              </w:rPr>
              <w:t>Jan-</w:t>
            </w:r>
            <w:r w:rsidRPr="0017202F">
              <w:rPr>
                <w:rFonts w:ascii="BentonSans Book" w:hAnsi="BentonSans Book"/>
                <w:b/>
                <w:bCs/>
              </w:rPr>
              <w:t>Jun</w:t>
            </w:r>
            <w:r>
              <w:rPr>
                <w:rFonts w:ascii="BentonSans Book" w:hAnsi="BentonSans Book"/>
                <w:b/>
                <w:bCs/>
              </w:rPr>
              <w:t xml:space="preserve"> </w:t>
            </w:r>
            <w:r w:rsidRPr="0017202F">
              <w:rPr>
                <w:rFonts w:ascii="BentonSans Book" w:hAnsi="BentonSans Book"/>
                <w:b/>
                <w:bCs/>
              </w:rPr>
              <w:t>18</w:t>
            </w:r>
          </w:p>
        </w:tc>
        <w:tc>
          <w:tcPr>
            <w:tcW w:w="1219"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00FE1313" w14:textId="7FF489F8" w:rsidR="0017202F" w:rsidRPr="0017202F" w:rsidRDefault="0017202F" w:rsidP="0017202F">
            <w:pPr>
              <w:jc w:val="center"/>
              <w:rPr>
                <w:rFonts w:ascii="BentonSans Book" w:hAnsi="BentonSans Book"/>
                <w:b/>
              </w:rPr>
            </w:pPr>
            <w:r>
              <w:rPr>
                <w:rFonts w:ascii="BentonSans Book" w:hAnsi="BentonSans Book"/>
                <w:b/>
                <w:bCs/>
              </w:rPr>
              <w:t>Jan-Jun</w:t>
            </w:r>
            <w:r w:rsidRPr="0017202F">
              <w:rPr>
                <w:rFonts w:ascii="BentonSans Book" w:hAnsi="BentonSans Book"/>
                <w:b/>
                <w:bCs/>
              </w:rPr>
              <w:t>19</w:t>
            </w:r>
          </w:p>
        </w:tc>
        <w:tc>
          <w:tcPr>
            <w:tcW w:w="117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2E2E637F" w14:textId="13BDFA1D" w:rsidR="0017202F" w:rsidRPr="0017202F" w:rsidRDefault="0017202F" w:rsidP="0017202F">
            <w:pPr>
              <w:jc w:val="center"/>
              <w:rPr>
                <w:rFonts w:ascii="BentonSans Book" w:hAnsi="BentonSans Book"/>
                <w:b/>
              </w:rPr>
            </w:pPr>
            <w:r w:rsidRPr="0017202F">
              <w:rPr>
                <w:rFonts w:ascii="BentonSans Book" w:hAnsi="BentonSans Book"/>
                <w:b/>
                <w:bCs/>
              </w:rPr>
              <w:t xml:space="preserve">% </w:t>
            </w:r>
            <w:r w:rsidR="00ED2EBE">
              <w:rPr>
                <w:rFonts w:ascii="BentonSans Book" w:hAnsi="BentonSans Book"/>
                <w:b/>
                <w:bCs/>
              </w:rPr>
              <w:t xml:space="preserve">Points </w:t>
            </w:r>
            <w:r w:rsidRPr="0017202F">
              <w:rPr>
                <w:rFonts w:ascii="BentonSans Book" w:hAnsi="BentonSans Book"/>
                <w:b/>
                <w:bCs/>
              </w:rPr>
              <w:t>change 18/17</w:t>
            </w:r>
          </w:p>
        </w:tc>
        <w:tc>
          <w:tcPr>
            <w:tcW w:w="1170" w:type="dxa"/>
            <w:tcBorders>
              <w:top w:val="single" w:sz="8" w:space="0" w:color="000000"/>
              <w:left w:val="single" w:sz="8" w:space="0" w:color="000000"/>
              <w:bottom w:val="single" w:sz="8" w:space="0" w:color="000000"/>
              <w:right w:val="single" w:sz="8" w:space="0" w:color="000000"/>
            </w:tcBorders>
            <w:shd w:val="clear" w:color="auto" w:fill="FFC000"/>
            <w:tcMar>
              <w:top w:w="15" w:type="dxa"/>
              <w:left w:w="15" w:type="dxa"/>
              <w:bottom w:w="0" w:type="dxa"/>
              <w:right w:w="15" w:type="dxa"/>
            </w:tcMar>
            <w:vAlign w:val="bottom"/>
            <w:hideMark/>
          </w:tcPr>
          <w:p w14:paraId="44ABBD54" w14:textId="3862D7D8" w:rsidR="0017202F" w:rsidRPr="0017202F" w:rsidRDefault="0017202F" w:rsidP="0017202F">
            <w:pPr>
              <w:jc w:val="center"/>
              <w:rPr>
                <w:rFonts w:ascii="BentonSans Book" w:hAnsi="BentonSans Book"/>
                <w:b/>
              </w:rPr>
            </w:pPr>
            <w:r w:rsidRPr="0017202F">
              <w:rPr>
                <w:rFonts w:ascii="BentonSans Book" w:hAnsi="BentonSans Book"/>
                <w:b/>
                <w:bCs/>
              </w:rPr>
              <w:t xml:space="preserve">% </w:t>
            </w:r>
            <w:r w:rsidR="00ED2EBE">
              <w:rPr>
                <w:rFonts w:ascii="BentonSans Book" w:hAnsi="BentonSans Book"/>
                <w:b/>
                <w:bCs/>
              </w:rPr>
              <w:t xml:space="preserve">Points </w:t>
            </w:r>
            <w:r w:rsidRPr="0017202F">
              <w:rPr>
                <w:rFonts w:ascii="BentonSans Book" w:hAnsi="BentonSans Book"/>
                <w:b/>
                <w:bCs/>
              </w:rPr>
              <w:t>change 19/18</w:t>
            </w:r>
          </w:p>
        </w:tc>
      </w:tr>
      <w:tr w:rsidR="00ED2EBE" w:rsidRPr="0017202F" w14:paraId="3A483544" w14:textId="77777777" w:rsidTr="00964444">
        <w:trPr>
          <w:trHeight w:val="379"/>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B315B1" w14:textId="77777777" w:rsidR="0017202F" w:rsidRPr="0017202F" w:rsidRDefault="0017202F" w:rsidP="0017202F">
            <w:pPr>
              <w:rPr>
                <w:rFonts w:ascii="BentonSans Book" w:hAnsi="BentonSans Book"/>
                <w:b/>
              </w:rPr>
            </w:pPr>
            <w:r w:rsidRPr="0017202F">
              <w:rPr>
                <w:rFonts w:ascii="BentonSans Book" w:hAnsi="BentonSans Book"/>
                <w:b/>
                <w:bCs/>
              </w:rPr>
              <w:t xml:space="preserve">Value </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541BD0" w14:textId="77777777" w:rsidR="0017202F" w:rsidRPr="0017202F" w:rsidRDefault="0017202F" w:rsidP="003F3310">
            <w:pPr>
              <w:jc w:val="center"/>
              <w:rPr>
                <w:rFonts w:ascii="BentonSans Book" w:hAnsi="BentonSans Book"/>
                <w:b/>
              </w:rPr>
            </w:pPr>
            <w:r w:rsidRPr="0017202F">
              <w:rPr>
                <w:rFonts w:ascii="BentonSans Book" w:hAnsi="BentonSans Book"/>
                <w:b/>
              </w:rPr>
              <w:t>16.6</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4BBE5C9" w14:textId="77777777" w:rsidR="0017202F" w:rsidRPr="0017202F" w:rsidRDefault="0017202F" w:rsidP="003F3310">
            <w:pPr>
              <w:jc w:val="center"/>
              <w:rPr>
                <w:rFonts w:ascii="BentonSans Book" w:hAnsi="BentonSans Book"/>
                <w:b/>
              </w:rPr>
            </w:pPr>
            <w:r w:rsidRPr="0017202F">
              <w:rPr>
                <w:rFonts w:ascii="BentonSans Book" w:hAnsi="BentonSans Book"/>
                <w:b/>
              </w:rPr>
              <w:t>20.4</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6B2715" w14:textId="77777777" w:rsidR="0017202F" w:rsidRPr="0017202F" w:rsidRDefault="0017202F" w:rsidP="003F3310">
            <w:pPr>
              <w:jc w:val="center"/>
              <w:rPr>
                <w:rFonts w:ascii="BentonSans Book" w:hAnsi="BentonSans Book"/>
                <w:b/>
              </w:rPr>
            </w:pPr>
            <w:r w:rsidRPr="0017202F">
              <w:rPr>
                <w:rFonts w:ascii="BentonSans Book" w:hAnsi="BentonSans Book"/>
                <w:b/>
              </w:rPr>
              <w:t>15.0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4C75360" w14:textId="77777777" w:rsidR="0017202F" w:rsidRPr="0017202F" w:rsidRDefault="0017202F" w:rsidP="003F3310">
            <w:pPr>
              <w:jc w:val="center"/>
              <w:rPr>
                <w:rFonts w:ascii="BentonSans Book" w:hAnsi="BentonSans Book"/>
                <w:b/>
              </w:rPr>
            </w:pPr>
            <w:r w:rsidRPr="0017202F">
              <w:rPr>
                <w:rFonts w:ascii="BentonSans Book" w:hAnsi="BentonSans Book"/>
                <w:b/>
                <w:bCs/>
              </w:rPr>
              <w:t>3.8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DD688BA" w14:textId="77777777" w:rsidR="0017202F" w:rsidRPr="0017202F" w:rsidRDefault="0017202F" w:rsidP="003F3310">
            <w:pPr>
              <w:jc w:val="center"/>
              <w:rPr>
                <w:rFonts w:ascii="BentonSans Book" w:hAnsi="BentonSans Book"/>
                <w:b/>
              </w:rPr>
            </w:pPr>
            <w:r w:rsidRPr="0017202F">
              <w:rPr>
                <w:rFonts w:ascii="BentonSans Book" w:hAnsi="BentonSans Book"/>
                <w:b/>
                <w:bCs/>
              </w:rPr>
              <w:t>-5.4</w:t>
            </w:r>
          </w:p>
        </w:tc>
      </w:tr>
      <w:tr w:rsidR="00ED2EBE" w:rsidRPr="0017202F" w14:paraId="2D7251A9" w14:textId="77777777" w:rsidTr="0017202F">
        <w:trPr>
          <w:trHeight w:val="414"/>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F30488B" w14:textId="77777777" w:rsidR="0017202F" w:rsidRPr="0017202F" w:rsidRDefault="0017202F" w:rsidP="0017202F">
            <w:pPr>
              <w:rPr>
                <w:rFonts w:ascii="BentonSans Book" w:hAnsi="BentonSans Book"/>
                <w:b/>
              </w:rPr>
            </w:pPr>
            <w:r w:rsidRPr="0017202F">
              <w:rPr>
                <w:rFonts w:ascii="BentonSans Book" w:hAnsi="BentonSans Book"/>
                <w:b/>
                <w:bCs/>
              </w:rPr>
              <w:t>Volume</w:t>
            </w:r>
          </w:p>
        </w:tc>
        <w:tc>
          <w:tcPr>
            <w:tcW w:w="12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5BEA56" w14:textId="77777777" w:rsidR="0017202F" w:rsidRPr="0017202F" w:rsidRDefault="0017202F" w:rsidP="003F3310">
            <w:pPr>
              <w:jc w:val="center"/>
              <w:rPr>
                <w:rFonts w:ascii="BentonSans Book" w:hAnsi="BentonSans Book"/>
                <w:b/>
              </w:rPr>
            </w:pPr>
            <w:r w:rsidRPr="0017202F">
              <w:rPr>
                <w:rFonts w:ascii="BentonSans Book" w:hAnsi="BentonSans Book"/>
                <w:b/>
              </w:rPr>
              <w:t>3.4</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39F089" w14:textId="77777777" w:rsidR="0017202F" w:rsidRPr="0017202F" w:rsidRDefault="0017202F" w:rsidP="003F3310">
            <w:pPr>
              <w:jc w:val="center"/>
              <w:rPr>
                <w:rFonts w:ascii="BentonSans Book" w:hAnsi="BentonSans Book"/>
                <w:b/>
              </w:rPr>
            </w:pPr>
            <w:r w:rsidRPr="0017202F">
              <w:rPr>
                <w:rFonts w:ascii="BentonSans Book" w:hAnsi="BentonSans Book"/>
                <w:b/>
              </w:rPr>
              <w:t>31.3</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0CD8505" w14:textId="77777777" w:rsidR="0017202F" w:rsidRPr="0017202F" w:rsidRDefault="0017202F" w:rsidP="003F3310">
            <w:pPr>
              <w:jc w:val="center"/>
              <w:rPr>
                <w:rFonts w:ascii="BentonSans Book" w:hAnsi="BentonSans Book"/>
                <w:b/>
              </w:rPr>
            </w:pPr>
            <w:r w:rsidRPr="0017202F">
              <w:rPr>
                <w:rFonts w:ascii="BentonSans Book" w:hAnsi="BentonSans Book"/>
                <w:b/>
              </w:rPr>
              <w:t>43.4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74F511" w14:textId="77777777" w:rsidR="0017202F" w:rsidRPr="0017202F" w:rsidRDefault="0017202F" w:rsidP="003F3310">
            <w:pPr>
              <w:jc w:val="center"/>
              <w:rPr>
                <w:rFonts w:ascii="BentonSans Book" w:hAnsi="BentonSans Book"/>
                <w:b/>
              </w:rPr>
            </w:pPr>
            <w:r w:rsidRPr="0017202F">
              <w:rPr>
                <w:rFonts w:ascii="BentonSans Book" w:hAnsi="BentonSans Book"/>
                <w:b/>
                <w:bCs/>
              </w:rPr>
              <w:t>27.9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EA8EBA" w14:textId="77777777" w:rsidR="0017202F" w:rsidRPr="0017202F" w:rsidRDefault="0017202F" w:rsidP="003F3310">
            <w:pPr>
              <w:jc w:val="center"/>
              <w:rPr>
                <w:rFonts w:ascii="BentonSans Book" w:hAnsi="BentonSans Book"/>
                <w:b/>
              </w:rPr>
            </w:pPr>
            <w:r w:rsidRPr="0017202F">
              <w:rPr>
                <w:rFonts w:ascii="BentonSans Book" w:hAnsi="BentonSans Book"/>
                <w:b/>
                <w:bCs/>
              </w:rPr>
              <w:t>12.1</w:t>
            </w:r>
          </w:p>
        </w:tc>
      </w:tr>
    </w:tbl>
    <w:p w14:paraId="0FE8FF21" w14:textId="14A56BB5" w:rsidR="0017202F" w:rsidRDefault="0017202F" w:rsidP="00DA0FBA">
      <w:pPr>
        <w:rPr>
          <w:rFonts w:ascii="BentonSans Book" w:hAnsi="BentonSans Book"/>
        </w:rPr>
      </w:pPr>
      <w:r w:rsidRPr="009D1113">
        <w:rPr>
          <w:rFonts w:ascii="BentonSans Book" w:hAnsi="BentonSans Book"/>
          <w:b/>
        </w:rPr>
        <w:t>Source:</w:t>
      </w:r>
      <w:r w:rsidRPr="009D1113">
        <w:rPr>
          <w:rFonts w:ascii="BentonSans Book" w:hAnsi="BentonSans Book"/>
        </w:rPr>
        <w:t xml:space="preserve"> Credit Survey Findings</w:t>
      </w:r>
    </w:p>
    <w:p w14:paraId="09060B0B" w14:textId="599D6E0B" w:rsidR="00872EE5" w:rsidRPr="003D33BD" w:rsidRDefault="003D33BD" w:rsidP="003D33BD">
      <w:pPr>
        <w:spacing w:line="276" w:lineRule="auto"/>
        <w:rPr>
          <w:rFonts w:ascii="BentonSans Black" w:hAnsi="BentonSans Black"/>
          <w:b/>
        </w:rPr>
      </w:pPr>
      <w:r>
        <w:rPr>
          <w:rFonts w:ascii="BentonSans Black" w:hAnsi="BentonSans Black"/>
          <w:b/>
        </w:rPr>
        <w:t xml:space="preserve">2.2 </w:t>
      </w:r>
      <w:r w:rsidR="00872EE5" w:rsidRPr="003D33BD">
        <w:rPr>
          <w:rFonts w:ascii="BentonSans Black" w:hAnsi="BentonSans Black"/>
          <w:b/>
        </w:rPr>
        <w:t>Implementation of Loan to Value Limit</w:t>
      </w:r>
    </w:p>
    <w:p w14:paraId="0699ED0C" w14:textId="389B6410" w:rsidR="00803415" w:rsidRPr="006D182C" w:rsidRDefault="00964444" w:rsidP="006D182C">
      <w:pPr>
        <w:spacing w:after="0" w:line="360" w:lineRule="auto"/>
        <w:jc w:val="both"/>
        <w:rPr>
          <w:rFonts w:ascii="BentonSans Book" w:hAnsi="BentonSans Book"/>
        </w:rPr>
      </w:pPr>
      <w:r>
        <w:rPr>
          <w:rFonts w:ascii="BentonSans Book" w:hAnsi="BentonSans Book"/>
        </w:rPr>
        <w:t>The NBR introduced the Loan to Value (LTV) as a macro p</w:t>
      </w:r>
      <w:r w:rsidR="005048BC">
        <w:rPr>
          <w:rFonts w:ascii="BentonSans Book" w:hAnsi="BentonSans Book"/>
        </w:rPr>
        <w:t>rudential tool to mitigate risks</w:t>
      </w:r>
      <w:r w:rsidR="005048BC">
        <w:rPr>
          <w:rFonts w:ascii="BentonSans Book" w:eastAsia="Times New Roman" w:hAnsi="BentonSans Book" w:cs="Times New Roman"/>
        </w:rPr>
        <w:t xml:space="preserve"> </w:t>
      </w:r>
      <w:r w:rsidR="005048BC">
        <w:rPr>
          <w:rFonts w:ascii="BentonSans Book" w:hAnsi="BentonSans Book"/>
        </w:rPr>
        <w:t xml:space="preserve">arising from </w:t>
      </w:r>
      <w:r w:rsidR="005048BC">
        <w:rPr>
          <w:rFonts w:ascii="BentonSans Book" w:eastAsia="Times New Roman" w:hAnsi="BentonSans Book" w:cs="Times New Roman"/>
        </w:rPr>
        <w:t>bank’s high exposure to</w:t>
      </w:r>
      <w:r w:rsidR="005048BC">
        <w:rPr>
          <w:rFonts w:ascii="BentonSans Book" w:hAnsi="BentonSans Book"/>
        </w:rPr>
        <w:t xml:space="preserve"> mortgage. </w:t>
      </w:r>
      <w:r>
        <w:rPr>
          <w:rFonts w:ascii="BentonSans Book" w:hAnsi="BentonSans Book"/>
        </w:rPr>
        <w:t xml:space="preserve">The NBR issued in March 2019, guidelines related to the implementation of LTV. These guidelines were enacted through a directive no 2600/2019-0015 on computation of loan to value ratio for residential and commercial property loans.  </w:t>
      </w:r>
      <w:r w:rsidR="005048BC">
        <w:rPr>
          <w:rFonts w:ascii="BentonSans Book" w:hAnsi="BentonSans Book"/>
        </w:rPr>
        <w:t xml:space="preserve">In this particular survey, banks </w:t>
      </w:r>
      <w:proofErr w:type="gramStart"/>
      <w:r w:rsidR="005048BC">
        <w:rPr>
          <w:rFonts w:ascii="BentonSans Book" w:hAnsi="BentonSans Book"/>
        </w:rPr>
        <w:t>w</w:t>
      </w:r>
      <w:r w:rsidR="005048BC" w:rsidRPr="00872EE5">
        <w:rPr>
          <w:rFonts w:ascii="BentonSans Book" w:hAnsi="BentonSans Book"/>
        </w:rPr>
        <w:t>ere asked</w:t>
      </w:r>
      <w:proofErr w:type="gramEnd"/>
      <w:r w:rsidR="005048BC" w:rsidRPr="00872EE5">
        <w:rPr>
          <w:rFonts w:ascii="BentonSans Book" w:hAnsi="BentonSans Book"/>
        </w:rPr>
        <w:t xml:space="preserve"> to provide their opinions on the implementation</w:t>
      </w:r>
      <w:r w:rsidR="005048BC">
        <w:rPr>
          <w:rFonts w:ascii="BentonSans Book" w:hAnsi="BentonSans Book"/>
        </w:rPr>
        <w:t xml:space="preserve"> of this tool. </w:t>
      </w:r>
      <w:r w:rsidR="00C6172D">
        <w:rPr>
          <w:rFonts w:ascii="BentonSans Book" w:hAnsi="BentonSans Book"/>
        </w:rPr>
        <w:t>Most banks (14 out of 16)</w:t>
      </w:r>
      <w:r>
        <w:rPr>
          <w:rFonts w:ascii="BentonSans Book" w:hAnsi="BentonSans Book"/>
        </w:rPr>
        <w:t xml:space="preserve"> reported not to have encountered</w:t>
      </w:r>
      <w:r w:rsidR="00C6172D">
        <w:rPr>
          <w:rFonts w:ascii="BentonSans Book" w:hAnsi="BentonSans Book"/>
        </w:rPr>
        <w:t xml:space="preserve"> any difficulties in implement</w:t>
      </w:r>
      <w:r w:rsidR="00D52560">
        <w:rPr>
          <w:rFonts w:ascii="BentonSans Book" w:hAnsi="BentonSans Book"/>
        </w:rPr>
        <w:t>ing</w:t>
      </w:r>
      <w:r w:rsidR="00C6172D">
        <w:rPr>
          <w:rFonts w:ascii="BentonSans Book" w:hAnsi="BentonSans Book"/>
        </w:rPr>
        <w:t xml:space="preserve"> this tool. </w:t>
      </w:r>
      <w:r w:rsidR="005048BC">
        <w:rPr>
          <w:rFonts w:ascii="BentonSans Book" w:hAnsi="BentonSans Book"/>
        </w:rPr>
        <w:t xml:space="preserve">In addition, </w:t>
      </w:r>
      <w:proofErr w:type="gramStart"/>
      <w:r w:rsidR="005048BC">
        <w:rPr>
          <w:rFonts w:ascii="BentonSans Book" w:hAnsi="BentonSans Book"/>
        </w:rPr>
        <w:t>there</w:t>
      </w:r>
      <w:r w:rsidR="00C6172D">
        <w:rPr>
          <w:rFonts w:ascii="BentonSans Book" w:hAnsi="BentonSans Book"/>
        </w:rPr>
        <w:t xml:space="preserve"> are some banks that</w:t>
      </w:r>
      <w:proofErr w:type="gramEnd"/>
      <w:r w:rsidR="00C6172D">
        <w:rPr>
          <w:rFonts w:ascii="BentonSans Book" w:hAnsi="BentonSans Book"/>
        </w:rPr>
        <w:t xml:space="preserve"> had been already implementing LTV </w:t>
      </w:r>
      <w:r w:rsidR="005048BC">
        <w:rPr>
          <w:rFonts w:ascii="BentonSans Book" w:hAnsi="BentonSans Book"/>
        </w:rPr>
        <w:t>although</w:t>
      </w:r>
      <w:r w:rsidR="00C6172D">
        <w:rPr>
          <w:rFonts w:ascii="BentonSans Book" w:hAnsi="BentonSans Book"/>
        </w:rPr>
        <w:t xml:space="preserve"> its applicability was not </w:t>
      </w:r>
      <w:r w:rsidR="005048BC">
        <w:rPr>
          <w:rFonts w:ascii="BentonSans Book" w:hAnsi="BentonSans Book"/>
        </w:rPr>
        <w:t>homogeneous</w:t>
      </w:r>
      <w:r w:rsidR="00C6172D">
        <w:rPr>
          <w:rFonts w:ascii="BentonSans Book" w:hAnsi="BentonSans Book"/>
        </w:rPr>
        <w:t xml:space="preserve"> across the industry. Going forward, banks foresee</w:t>
      </w:r>
      <w:r w:rsidR="00D4658A">
        <w:rPr>
          <w:rFonts w:ascii="BentonSans Book" w:hAnsi="BentonSans Book"/>
        </w:rPr>
        <w:t xml:space="preserve"> LTV</w:t>
      </w:r>
      <w:r w:rsidR="00C6172D">
        <w:rPr>
          <w:rFonts w:ascii="BentonSans Book" w:hAnsi="BentonSans Book"/>
        </w:rPr>
        <w:t xml:space="preserve"> as a</w:t>
      </w:r>
      <w:r>
        <w:rPr>
          <w:rFonts w:ascii="BentonSans Book" w:hAnsi="BentonSans Book"/>
        </w:rPr>
        <w:t>n</w:t>
      </w:r>
      <w:r w:rsidR="00C6172D">
        <w:rPr>
          <w:rFonts w:ascii="BentonSans Book" w:hAnsi="BentonSans Book"/>
        </w:rPr>
        <w:t xml:space="preserve"> important tool that will help them to measure, control and mitigate potential credit risks associated with lending to real estate.</w:t>
      </w:r>
      <w:r>
        <w:rPr>
          <w:rFonts w:ascii="BentonSans Book" w:hAnsi="BentonSans Book"/>
        </w:rPr>
        <w:t xml:space="preserve"> </w:t>
      </w:r>
    </w:p>
    <w:p w14:paraId="19E3D4A1" w14:textId="07C7153A" w:rsidR="000C4424" w:rsidRPr="00B709F4" w:rsidRDefault="006F596A" w:rsidP="00870E7F">
      <w:pPr>
        <w:pStyle w:val="NormalWeb"/>
        <w:spacing w:before="120" w:after="120" w:line="276" w:lineRule="auto"/>
        <w:rPr>
          <w:rFonts w:ascii="BentonSans Black" w:hAnsi="BentonSans Black"/>
          <w:b/>
          <w:sz w:val="22"/>
          <w:szCs w:val="22"/>
        </w:rPr>
      </w:pPr>
      <w:r>
        <w:rPr>
          <w:rFonts w:ascii="BentonSans Black" w:hAnsi="BentonSans Black"/>
          <w:b/>
          <w:sz w:val="22"/>
          <w:szCs w:val="22"/>
        </w:rPr>
        <w:t>2.3</w:t>
      </w:r>
      <w:r w:rsidR="00905B32">
        <w:rPr>
          <w:rFonts w:ascii="BentonSans Black" w:hAnsi="BentonSans Black"/>
          <w:b/>
          <w:sz w:val="22"/>
          <w:szCs w:val="22"/>
        </w:rPr>
        <w:t xml:space="preserve"> </w:t>
      </w:r>
      <w:r w:rsidR="000C4424" w:rsidRPr="00B709F4">
        <w:rPr>
          <w:rFonts w:ascii="BentonSans Black" w:hAnsi="BentonSans Black"/>
          <w:b/>
          <w:sz w:val="22"/>
          <w:szCs w:val="22"/>
        </w:rPr>
        <w:t>Development in Non-Performing Loans</w:t>
      </w:r>
    </w:p>
    <w:p w14:paraId="1F5C6EA1" w14:textId="15AA02A0" w:rsidR="00CC5E93" w:rsidRPr="009C4FED" w:rsidRDefault="00CC5E93" w:rsidP="00CC5E93">
      <w:pPr>
        <w:pStyle w:val="NoSpacing"/>
        <w:spacing w:line="360" w:lineRule="auto"/>
        <w:jc w:val="both"/>
        <w:rPr>
          <w:rFonts w:ascii="BentonSans Book" w:hAnsi="BentonSans Book" w:cs="Arial"/>
          <w:lang w:eastAsia="en-GB"/>
        </w:rPr>
      </w:pPr>
      <w:r w:rsidRPr="009C4FED">
        <w:rPr>
          <w:rFonts w:ascii="BentonSans Book" w:hAnsi="BentonSans Book" w:cs="Arial"/>
          <w:lang w:eastAsia="en-GB"/>
        </w:rPr>
        <w:t>The aggregate banking sector non-performing loan ratio reduced from 6.9 percent in June 2018 to 5.6 percent in June 2019. In terms of a</w:t>
      </w:r>
      <w:r w:rsidR="000D7760">
        <w:rPr>
          <w:rFonts w:ascii="BentonSans Book" w:hAnsi="BentonSans Book" w:cs="Arial"/>
          <w:lang w:eastAsia="en-GB"/>
        </w:rPr>
        <w:t>mount</w:t>
      </w:r>
      <w:proofErr w:type="gramStart"/>
      <w:r w:rsidR="000D7760">
        <w:rPr>
          <w:rFonts w:ascii="BentonSans Book" w:hAnsi="BentonSans Book" w:cs="Arial"/>
          <w:lang w:eastAsia="en-GB"/>
        </w:rPr>
        <w:t>,  non</w:t>
      </w:r>
      <w:proofErr w:type="gramEnd"/>
      <w:r w:rsidR="000D7760">
        <w:rPr>
          <w:rFonts w:ascii="BentonSans Book" w:hAnsi="BentonSans Book" w:cs="Arial"/>
          <w:lang w:eastAsia="en-GB"/>
        </w:rPr>
        <w:t xml:space="preserve">-performing loans </w:t>
      </w:r>
      <w:r w:rsidRPr="009C4FED">
        <w:rPr>
          <w:rFonts w:ascii="BentonSans Book" w:hAnsi="BentonSans Book" w:cs="Arial"/>
          <w:lang w:eastAsia="en-GB"/>
        </w:rPr>
        <w:t xml:space="preserve"> reduced from FRW</w:t>
      </w:r>
      <w:r w:rsidR="000D7760">
        <w:rPr>
          <w:rFonts w:ascii="BentonSans Book" w:hAnsi="BentonSans Book" w:cs="Arial"/>
          <w:lang w:eastAsia="en-GB"/>
        </w:rPr>
        <w:t xml:space="preserve"> 137.6 </w:t>
      </w:r>
      <w:r w:rsidRPr="009C4FED">
        <w:rPr>
          <w:rFonts w:ascii="BentonSans Book" w:hAnsi="BentonSans Book" w:cs="Arial"/>
          <w:lang w:eastAsia="en-GB"/>
        </w:rPr>
        <w:t xml:space="preserve"> billion in June 2018 to FRW </w:t>
      </w:r>
      <w:r w:rsidR="000D7760">
        <w:rPr>
          <w:rFonts w:ascii="BentonSans Book" w:hAnsi="BentonSans Book" w:cs="Arial"/>
          <w:lang w:eastAsia="en-GB"/>
        </w:rPr>
        <w:t xml:space="preserve">125.3 </w:t>
      </w:r>
      <w:r w:rsidRPr="009C4FED">
        <w:rPr>
          <w:rFonts w:ascii="BentonSans Book" w:hAnsi="BentonSans Book" w:cs="Arial"/>
          <w:lang w:eastAsia="en-GB"/>
        </w:rPr>
        <w:t>billion in June 2019. The reduction of non-per</w:t>
      </w:r>
      <w:r w:rsidR="000D7760">
        <w:rPr>
          <w:rFonts w:ascii="BentonSans Book" w:hAnsi="BentonSans Book" w:cs="Arial"/>
          <w:lang w:eastAsia="en-GB"/>
        </w:rPr>
        <w:t>forming loans is attributed</w:t>
      </w:r>
      <w:r w:rsidRPr="009C4FED">
        <w:rPr>
          <w:rFonts w:ascii="BentonSans Book" w:hAnsi="BentonSans Book" w:cs="Arial"/>
          <w:lang w:eastAsia="en-GB"/>
        </w:rPr>
        <w:t xml:space="preserve"> to three factors namely improved economic performance, increased lending and write </w:t>
      </w:r>
      <w:r w:rsidRPr="009C4FED">
        <w:rPr>
          <w:rFonts w:ascii="BentonSans Book" w:hAnsi="BentonSans Book" w:cs="Arial"/>
          <w:lang w:eastAsia="en-GB"/>
        </w:rPr>
        <w:lastRenderedPageBreak/>
        <w:t xml:space="preserve">offs. </w:t>
      </w:r>
      <w:r w:rsidR="000D7760">
        <w:rPr>
          <w:rFonts w:ascii="BentonSans Book" w:hAnsi="BentonSans Book" w:cs="Arial"/>
          <w:lang w:eastAsia="en-GB"/>
        </w:rPr>
        <w:t>From a s</w:t>
      </w:r>
      <w:r w:rsidRPr="009C4FED">
        <w:rPr>
          <w:rFonts w:ascii="BentonSans Book" w:hAnsi="BentonSans Book" w:cs="Arial"/>
          <w:lang w:eastAsia="en-GB"/>
        </w:rPr>
        <w:t>ector</w:t>
      </w:r>
      <w:r w:rsidR="000D7760">
        <w:rPr>
          <w:rFonts w:ascii="BentonSans Book" w:hAnsi="BentonSans Book" w:cs="Arial"/>
          <w:lang w:eastAsia="en-GB"/>
        </w:rPr>
        <w:t>al perspective,</w:t>
      </w:r>
      <w:r w:rsidRPr="009C4FED">
        <w:rPr>
          <w:rFonts w:ascii="BentonSans Book" w:hAnsi="BentonSans Book" w:cs="Arial"/>
          <w:lang w:eastAsia="en-GB"/>
        </w:rPr>
        <w:t xml:space="preserve"> t</w:t>
      </w:r>
      <w:r w:rsidR="000D7760">
        <w:rPr>
          <w:rFonts w:ascii="BentonSans Book" w:hAnsi="BentonSans Book" w:cs="Arial"/>
          <w:lang w:eastAsia="en-GB"/>
        </w:rPr>
        <w:t>he NPLs ratio</w:t>
      </w:r>
      <w:r w:rsidRPr="0053537D">
        <w:rPr>
          <w:rFonts w:ascii="BentonSans Book" w:hAnsi="BentonSans Book" w:cs="Arial"/>
          <w:lang w:eastAsia="en-GB"/>
        </w:rPr>
        <w:t xml:space="preserve"> dropped in </w:t>
      </w:r>
      <w:r>
        <w:rPr>
          <w:rFonts w:ascii="BentonSans Book" w:hAnsi="BentonSans Book" w:cs="Arial"/>
          <w:lang w:eastAsia="en-GB"/>
        </w:rPr>
        <w:t xml:space="preserve">key sectors </w:t>
      </w:r>
      <w:r w:rsidR="00BF65A4">
        <w:rPr>
          <w:rFonts w:ascii="BentonSans Book" w:hAnsi="BentonSans Book" w:cs="Arial"/>
          <w:lang w:eastAsia="en-GB"/>
        </w:rPr>
        <w:t>including</w:t>
      </w:r>
      <w:r>
        <w:rPr>
          <w:rFonts w:ascii="BentonSans Book" w:hAnsi="BentonSans Book" w:cs="Arial"/>
          <w:lang w:eastAsia="en-GB"/>
        </w:rPr>
        <w:t xml:space="preserve"> the </w:t>
      </w:r>
      <w:r w:rsidRPr="0053537D">
        <w:rPr>
          <w:rFonts w:ascii="BentonSans Book" w:hAnsi="BentonSans Book" w:cs="Arial"/>
          <w:lang w:eastAsia="en-GB"/>
        </w:rPr>
        <w:t>agriculture, manufacturing, mortgage</w:t>
      </w:r>
      <w:r>
        <w:rPr>
          <w:rFonts w:ascii="BentonSans Book" w:hAnsi="BentonSans Book" w:cs="Arial"/>
          <w:lang w:eastAsia="en-GB"/>
        </w:rPr>
        <w:t>, hotels, transport and communication.</w:t>
      </w:r>
      <w:r w:rsidRPr="0053537D">
        <w:rPr>
          <w:rFonts w:ascii="BentonSans Book" w:hAnsi="BentonSans Book" w:cs="Arial"/>
          <w:lang w:eastAsia="en-GB"/>
        </w:rPr>
        <w:t xml:space="preserve"> </w:t>
      </w:r>
      <w:r>
        <w:rPr>
          <w:rFonts w:ascii="BentonSans Book" w:hAnsi="BentonSans Book" w:cs="Arial"/>
          <w:lang w:eastAsia="en-GB"/>
        </w:rPr>
        <w:t xml:space="preserve"> The reduction of NPLs ratio in these sectors </w:t>
      </w:r>
      <w:r w:rsidRPr="0053537D">
        <w:rPr>
          <w:rFonts w:ascii="BentonSans Book" w:hAnsi="BentonSans Book" w:cs="Arial"/>
          <w:lang w:eastAsia="en-GB"/>
        </w:rPr>
        <w:t xml:space="preserve">mainly reflecting increased lending </w:t>
      </w:r>
      <w:r>
        <w:rPr>
          <w:rFonts w:ascii="BentonSans Book" w:hAnsi="BentonSans Book" w:cs="Arial"/>
          <w:lang w:eastAsia="en-GB"/>
        </w:rPr>
        <w:t xml:space="preserve">and </w:t>
      </w:r>
      <w:r w:rsidR="00BF65A4">
        <w:rPr>
          <w:rFonts w:ascii="BentonSans Book" w:hAnsi="BentonSans Book" w:cs="Arial"/>
          <w:lang w:eastAsia="en-GB"/>
        </w:rPr>
        <w:t>write</w:t>
      </w:r>
      <w:r w:rsidR="000D7760">
        <w:rPr>
          <w:rFonts w:ascii="BentonSans Book" w:hAnsi="BentonSans Book" w:cs="Arial"/>
          <w:lang w:eastAsia="en-GB"/>
        </w:rPr>
        <w:t xml:space="preserve"> offs to the</w:t>
      </w:r>
      <w:r w:rsidRPr="0053537D">
        <w:rPr>
          <w:rFonts w:ascii="BentonSans Book" w:hAnsi="BentonSans Book" w:cs="Arial"/>
          <w:lang w:eastAsia="en-GB"/>
        </w:rPr>
        <w:t>se sectors during the first half of 2019.</w:t>
      </w:r>
    </w:p>
    <w:p w14:paraId="380CE564" w14:textId="77777777" w:rsidR="00CC5E93" w:rsidRPr="0053537D" w:rsidRDefault="00CC5E93" w:rsidP="00CC5E93">
      <w:pPr>
        <w:pStyle w:val="NoSpacing"/>
        <w:rPr>
          <w:lang w:eastAsia="en-GB"/>
        </w:rPr>
      </w:pPr>
    </w:p>
    <w:p w14:paraId="61C90212" w14:textId="78188EAF" w:rsidR="00CC5E93" w:rsidRDefault="00CC5E93" w:rsidP="00CC5E93">
      <w:pPr>
        <w:autoSpaceDE w:val="0"/>
        <w:autoSpaceDN w:val="0"/>
        <w:adjustRightInd w:val="0"/>
        <w:spacing w:after="0" w:line="360" w:lineRule="auto"/>
        <w:jc w:val="both"/>
        <w:rPr>
          <w:rFonts w:ascii="BentonSans Book" w:hAnsi="BentonSans Book" w:cs="Arial"/>
          <w:lang w:eastAsia="en-GB"/>
        </w:rPr>
      </w:pPr>
      <w:r>
        <w:rPr>
          <w:rFonts w:ascii="BentonSans Book" w:hAnsi="BentonSans Book" w:cs="Arial"/>
          <w:lang w:eastAsia="en-GB"/>
        </w:rPr>
        <w:t xml:space="preserve">Nevertheless, NPLs ratio increased </w:t>
      </w:r>
      <w:r w:rsidR="000D7760">
        <w:rPr>
          <w:rFonts w:ascii="BentonSans Book" w:hAnsi="BentonSans Book" w:cs="Arial"/>
          <w:lang w:eastAsia="en-GB"/>
        </w:rPr>
        <w:t>in trade and mining. NPLs ratio</w:t>
      </w:r>
      <w:r>
        <w:rPr>
          <w:rFonts w:ascii="BentonSans Book" w:hAnsi="BentonSans Book" w:cs="Arial"/>
          <w:lang w:eastAsia="en-GB"/>
        </w:rPr>
        <w:t xml:space="preserve"> </w:t>
      </w:r>
      <w:r w:rsidR="00E241AA">
        <w:rPr>
          <w:rFonts w:ascii="BentonSans Book" w:hAnsi="BentonSans Book" w:cs="Arial"/>
          <w:lang w:eastAsia="en-GB"/>
        </w:rPr>
        <w:t>in trade sector increased from 11.5 percent in June 2018 to 15 percent in J</w:t>
      </w:r>
      <w:r>
        <w:rPr>
          <w:rFonts w:ascii="BentonSans Book" w:hAnsi="BentonSans Book" w:cs="Arial"/>
          <w:lang w:eastAsia="en-GB"/>
        </w:rPr>
        <w:t>une 2019. During the same period, NPLs ratio</w:t>
      </w:r>
      <w:r w:rsidR="00E241AA">
        <w:rPr>
          <w:rFonts w:ascii="BentonSans Book" w:hAnsi="BentonSans Book" w:cs="Arial"/>
          <w:lang w:eastAsia="en-GB"/>
        </w:rPr>
        <w:t xml:space="preserve"> </w:t>
      </w:r>
      <w:r>
        <w:rPr>
          <w:rFonts w:ascii="BentonSans Book" w:hAnsi="BentonSans Book" w:cs="Arial"/>
          <w:lang w:eastAsia="en-GB"/>
        </w:rPr>
        <w:t xml:space="preserve">in </w:t>
      </w:r>
      <w:r w:rsidR="00E241AA">
        <w:rPr>
          <w:rFonts w:ascii="BentonSans Book" w:hAnsi="BentonSans Book" w:cs="Arial"/>
          <w:lang w:eastAsia="en-GB"/>
        </w:rPr>
        <w:t xml:space="preserve">mining sector increased from 0.6 percent to 88.4 </w:t>
      </w:r>
      <w:r>
        <w:rPr>
          <w:rFonts w:ascii="BentonSans Book" w:hAnsi="BentonSans Book" w:cs="Arial"/>
          <w:lang w:eastAsia="en-GB"/>
        </w:rPr>
        <w:t xml:space="preserve">percent. In nominal value, </w:t>
      </w:r>
      <w:r w:rsidR="00E241AA">
        <w:rPr>
          <w:rFonts w:ascii="BentonSans Book" w:hAnsi="BentonSans Book" w:cs="Arial"/>
          <w:lang w:eastAsia="en-GB"/>
        </w:rPr>
        <w:t>non-performing</w:t>
      </w:r>
      <w:r>
        <w:rPr>
          <w:rFonts w:ascii="BentonSans Book" w:hAnsi="BentonSans Book" w:cs="Arial"/>
          <w:lang w:eastAsia="en-GB"/>
        </w:rPr>
        <w:t xml:space="preserve"> loans in trade increased form FRW </w:t>
      </w:r>
      <w:r w:rsidR="00E241AA">
        <w:rPr>
          <w:rFonts w:ascii="BentonSans Book" w:hAnsi="BentonSans Book" w:cs="Arial"/>
          <w:lang w:eastAsia="en-GB"/>
        </w:rPr>
        <w:t>32.6 billion in June 2018 to FRW 45.1 billion in J</w:t>
      </w:r>
      <w:r>
        <w:rPr>
          <w:rFonts w:ascii="BentonSans Book" w:hAnsi="BentonSans Book" w:cs="Arial"/>
          <w:lang w:eastAsia="en-GB"/>
        </w:rPr>
        <w:t xml:space="preserve">une </w:t>
      </w:r>
      <w:r w:rsidR="00E241AA">
        <w:rPr>
          <w:rFonts w:ascii="BentonSans Book" w:hAnsi="BentonSans Book" w:cs="Arial"/>
          <w:lang w:eastAsia="en-GB"/>
        </w:rPr>
        <w:t>2019, while in mining NPLs incr</w:t>
      </w:r>
      <w:r>
        <w:rPr>
          <w:rFonts w:ascii="BentonSans Book" w:hAnsi="BentonSans Book" w:cs="Arial"/>
          <w:lang w:eastAsia="en-GB"/>
        </w:rPr>
        <w:t>e</w:t>
      </w:r>
      <w:r w:rsidR="00E241AA">
        <w:rPr>
          <w:rFonts w:ascii="BentonSans Book" w:hAnsi="BentonSans Book" w:cs="Arial"/>
          <w:lang w:eastAsia="en-GB"/>
        </w:rPr>
        <w:t>ase</w:t>
      </w:r>
      <w:r>
        <w:rPr>
          <w:rFonts w:ascii="BentonSans Book" w:hAnsi="BentonSans Book" w:cs="Arial"/>
          <w:lang w:eastAsia="en-GB"/>
        </w:rPr>
        <w:t>d from F</w:t>
      </w:r>
      <w:r w:rsidR="00E241AA">
        <w:rPr>
          <w:rFonts w:ascii="BentonSans Book" w:hAnsi="BentonSans Book" w:cs="Arial"/>
          <w:lang w:eastAsia="en-GB"/>
        </w:rPr>
        <w:t xml:space="preserve">RW 22 million in June 2018 to FRW 2.9 </w:t>
      </w:r>
      <w:r w:rsidR="00D81D0D">
        <w:rPr>
          <w:rFonts w:ascii="BentonSans Book" w:hAnsi="BentonSans Book" w:cs="Arial"/>
          <w:lang w:eastAsia="en-GB"/>
        </w:rPr>
        <w:t>billion in J</w:t>
      </w:r>
      <w:r>
        <w:rPr>
          <w:rFonts w:ascii="BentonSans Book" w:hAnsi="BentonSans Book" w:cs="Arial"/>
          <w:lang w:eastAsia="en-GB"/>
        </w:rPr>
        <w:t xml:space="preserve">une 2019. The increase of NPLs in trade and mining </w:t>
      </w:r>
      <w:proofErr w:type="gramStart"/>
      <w:r>
        <w:rPr>
          <w:rFonts w:ascii="BentonSans Book" w:hAnsi="BentonSans Book" w:cs="Arial"/>
          <w:lang w:eastAsia="en-GB"/>
        </w:rPr>
        <w:t>is attributed</w:t>
      </w:r>
      <w:proofErr w:type="gramEnd"/>
      <w:r>
        <w:rPr>
          <w:rFonts w:ascii="BentonSans Book" w:hAnsi="BentonSans Book" w:cs="Arial"/>
          <w:lang w:eastAsia="en-GB"/>
        </w:rPr>
        <w:t xml:space="preserve"> to</w:t>
      </w:r>
      <w:r w:rsidR="00D81D0D">
        <w:rPr>
          <w:rFonts w:ascii="BentonSans Book" w:hAnsi="BentonSans Book" w:cs="Arial"/>
          <w:lang w:eastAsia="en-GB"/>
        </w:rPr>
        <w:t xml:space="preserve"> few big loans that underperformed in trade and the decele</w:t>
      </w:r>
      <w:r>
        <w:rPr>
          <w:rFonts w:ascii="BentonSans Book" w:hAnsi="BentonSans Book" w:cs="Arial"/>
          <w:lang w:eastAsia="en-GB"/>
        </w:rPr>
        <w:t>r</w:t>
      </w:r>
      <w:r w:rsidR="00D81D0D">
        <w:rPr>
          <w:rFonts w:ascii="BentonSans Book" w:hAnsi="BentonSans Book" w:cs="Arial"/>
          <w:lang w:eastAsia="en-GB"/>
        </w:rPr>
        <w:t>a</w:t>
      </w:r>
      <w:r>
        <w:rPr>
          <w:rFonts w:ascii="BentonSans Book" w:hAnsi="BentonSans Book" w:cs="Arial"/>
          <w:lang w:eastAsia="en-GB"/>
        </w:rPr>
        <w:t xml:space="preserve">tion of commodity </w:t>
      </w:r>
      <w:r w:rsidR="00D81D0D">
        <w:rPr>
          <w:rFonts w:ascii="BentonSans Book" w:hAnsi="BentonSans Book" w:cs="Arial"/>
          <w:lang w:eastAsia="en-GB"/>
        </w:rPr>
        <w:t xml:space="preserve">prices that </w:t>
      </w:r>
      <w:r>
        <w:rPr>
          <w:rFonts w:ascii="BentonSans Book" w:hAnsi="BentonSans Book" w:cs="Arial"/>
          <w:lang w:eastAsia="en-GB"/>
        </w:rPr>
        <w:t>affected the exports revenue</w:t>
      </w:r>
      <w:r w:rsidR="00D81D0D">
        <w:rPr>
          <w:rFonts w:ascii="BentonSans Book" w:hAnsi="BentonSans Book" w:cs="Arial"/>
          <w:lang w:eastAsia="en-GB"/>
        </w:rPr>
        <w:t>s</w:t>
      </w:r>
      <w:r>
        <w:rPr>
          <w:rFonts w:ascii="BentonSans Book" w:hAnsi="BentonSans Book" w:cs="Arial"/>
          <w:lang w:eastAsia="en-GB"/>
        </w:rPr>
        <w:t xml:space="preserve"> from minerals</w:t>
      </w:r>
      <w:r w:rsidR="00D81D0D">
        <w:rPr>
          <w:rFonts w:ascii="BentonSans Book" w:hAnsi="BentonSans Book" w:cs="Arial"/>
          <w:lang w:eastAsia="en-GB"/>
        </w:rPr>
        <w:t>.</w:t>
      </w:r>
    </w:p>
    <w:p w14:paraId="04600B5A" w14:textId="6BC9AD6C" w:rsidR="0088665D" w:rsidRDefault="0088665D" w:rsidP="006C196B">
      <w:pPr>
        <w:jc w:val="both"/>
        <w:rPr>
          <w:rFonts w:ascii="BentonSans Book" w:eastAsia="Times New Roman" w:hAnsi="BentonSans Book" w:cs="Times New Roman"/>
          <w:color w:val="C00000"/>
        </w:rPr>
      </w:pPr>
    </w:p>
    <w:p w14:paraId="0446F42C" w14:textId="4F99B4D1" w:rsidR="0088665D" w:rsidRPr="00B709F4" w:rsidRDefault="00CC5E93" w:rsidP="0088665D">
      <w:pPr>
        <w:pStyle w:val="NormalWeb"/>
        <w:spacing w:before="120" w:after="120" w:line="360" w:lineRule="auto"/>
        <w:rPr>
          <w:rFonts w:ascii="BentonSans Black" w:hAnsi="BentonSans Black"/>
          <w:b/>
          <w:sz w:val="22"/>
          <w:szCs w:val="22"/>
        </w:rPr>
      </w:pPr>
      <w:r>
        <w:rPr>
          <w:rFonts w:ascii="BentonSans Black" w:hAnsi="BentonSans Black"/>
          <w:b/>
          <w:sz w:val="22"/>
          <w:szCs w:val="22"/>
        </w:rPr>
        <w:t>Table 3</w:t>
      </w:r>
      <w:r w:rsidR="0088665D" w:rsidRPr="00B709F4">
        <w:rPr>
          <w:rFonts w:ascii="BentonSans Black" w:hAnsi="BentonSans Black"/>
          <w:b/>
          <w:sz w:val="22"/>
          <w:szCs w:val="22"/>
        </w:rPr>
        <w:t xml:space="preserve">: </w:t>
      </w:r>
      <w:r w:rsidRPr="00B709F4">
        <w:rPr>
          <w:rFonts w:ascii="BentonSans Black" w:hAnsi="BentonSans Black"/>
          <w:b/>
          <w:sz w:val="22"/>
          <w:szCs w:val="22"/>
        </w:rPr>
        <w:t>Non-Performing</w:t>
      </w:r>
      <w:r w:rsidR="0088665D" w:rsidRPr="00B709F4">
        <w:rPr>
          <w:rFonts w:ascii="BentonSans Black" w:hAnsi="BentonSans Black"/>
          <w:b/>
          <w:sz w:val="22"/>
          <w:szCs w:val="22"/>
        </w:rPr>
        <w:t xml:space="preserve"> Loans Ratio by Activity Sector</w:t>
      </w:r>
    </w:p>
    <w:tbl>
      <w:tblPr>
        <w:tblW w:w="8506" w:type="dxa"/>
        <w:tblLook w:val="04A0" w:firstRow="1" w:lastRow="0" w:firstColumn="1" w:lastColumn="0" w:noHBand="0" w:noVBand="1"/>
      </w:tblPr>
      <w:tblGrid>
        <w:gridCol w:w="3280"/>
        <w:gridCol w:w="1032"/>
        <w:gridCol w:w="1032"/>
        <w:gridCol w:w="1032"/>
        <w:gridCol w:w="1032"/>
        <w:gridCol w:w="1098"/>
      </w:tblGrid>
      <w:tr w:rsidR="00CC5E93" w:rsidRPr="004A5947" w14:paraId="5EFA7492" w14:textId="77777777" w:rsidTr="00CC5E93">
        <w:trPr>
          <w:trHeight w:val="483"/>
        </w:trPr>
        <w:tc>
          <w:tcPr>
            <w:tcW w:w="3280" w:type="dxa"/>
            <w:vMerge w:val="restart"/>
            <w:tcBorders>
              <w:top w:val="single" w:sz="4" w:space="0" w:color="auto"/>
              <w:left w:val="single" w:sz="4" w:space="0" w:color="auto"/>
              <w:bottom w:val="single" w:sz="4" w:space="0" w:color="auto"/>
              <w:right w:val="single" w:sz="4" w:space="0" w:color="auto"/>
            </w:tcBorders>
            <w:shd w:val="clear" w:color="auto" w:fill="FFC000"/>
            <w:vAlign w:val="center"/>
            <w:hideMark/>
          </w:tcPr>
          <w:p w14:paraId="22904730" w14:textId="77777777" w:rsidR="00CC5E93" w:rsidRPr="004A5947" w:rsidRDefault="00CC5E93" w:rsidP="0084270A">
            <w:pPr>
              <w:spacing w:after="0" w:line="360" w:lineRule="auto"/>
              <w:jc w:val="center"/>
              <w:rPr>
                <w:rFonts w:ascii="BentonSans Book" w:hAnsi="BentonSans Book"/>
                <w:b/>
                <w:bCs/>
                <w:color w:val="000000"/>
              </w:rPr>
            </w:pPr>
            <w:r w:rsidRPr="004A5947">
              <w:rPr>
                <w:rFonts w:ascii="BentonSans Book" w:eastAsia="Calibri" w:hAnsi="BentonSans Book"/>
                <w:b/>
                <w:bCs/>
                <w:color w:val="000000"/>
              </w:rPr>
              <w:t xml:space="preserve">Activity Sectors </w:t>
            </w:r>
          </w:p>
        </w:tc>
        <w:tc>
          <w:tcPr>
            <w:tcW w:w="5226" w:type="dxa"/>
            <w:gridSpan w:val="5"/>
            <w:tcBorders>
              <w:top w:val="single" w:sz="4" w:space="0" w:color="auto"/>
              <w:left w:val="nil"/>
              <w:bottom w:val="single" w:sz="4" w:space="0" w:color="auto"/>
              <w:right w:val="single" w:sz="4" w:space="0" w:color="auto"/>
            </w:tcBorders>
            <w:shd w:val="clear" w:color="auto" w:fill="FFC000"/>
            <w:vAlign w:val="center"/>
            <w:hideMark/>
          </w:tcPr>
          <w:p w14:paraId="1407B35D" w14:textId="77777777" w:rsidR="00CC5E93" w:rsidRPr="004A5947" w:rsidRDefault="00CC5E93" w:rsidP="0084270A">
            <w:pPr>
              <w:spacing w:after="0" w:line="360" w:lineRule="auto"/>
              <w:jc w:val="center"/>
              <w:rPr>
                <w:rFonts w:ascii="BentonSans Book" w:hAnsi="BentonSans Book"/>
                <w:b/>
                <w:bCs/>
                <w:color w:val="000000"/>
              </w:rPr>
            </w:pPr>
            <w:r w:rsidRPr="004A5947">
              <w:rPr>
                <w:rFonts w:ascii="BentonSans Book" w:hAnsi="BentonSans Book"/>
                <w:b/>
                <w:bCs/>
                <w:color w:val="000000"/>
              </w:rPr>
              <w:t>Sectoral NPLs Ratio (percent)</w:t>
            </w:r>
          </w:p>
        </w:tc>
      </w:tr>
      <w:tr w:rsidR="00CC5E93" w:rsidRPr="004A5947" w14:paraId="23EF8E19" w14:textId="77777777" w:rsidTr="00CC5E93">
        <w:trPr>
          <w:trHeight w:val="253"/>
        </w:trPr>
        <w:tc>
          <w:tcPr>
            <w:tcW w:w="3280" w:type="dxa"/>
            <w:vMerge/>
            <w:tcBorders>
              <w:top w:val="single" w:sz="4" w:space="0" w:color="auto"/>
              <w:left w:val="single" w:sz="4" w:space="0" w:color="auto"/>
              <w:bottom w:val="single" w:sz="4" w:space="0" w:color="auto"/>
              <w:right w:val="single" w:sz="4" w:space="0" w:color="auto"/>
            </w:tcBorders>
            <w:vAlign w:val="center"/>
            <w:hideMark/>
          </w:tcPr>
          <w:p w14:paraId="4956E47F" w14:textId="77777777" w:rsidR="00CC5E93" w:rsidRPr="004A5947" w:rsidRDefault="00CC5E93" w:rsidP="0084270A">
            <w:pPr>
              <w:spacing w:after="0" w:line="360" w:lineRule="auto"/>
              <w:rPr>
                <w:rFonts w:ascii="BentonSans Book" w:hAnsi="BentonSans Book"/>
                <w:b/>
                <w:bCs/>
                <w:color w:val="000000"/>
              </w:rPr>
            </w:pPr>
          </w:p>
        </w:tc>
        <w:tc>
          <w:tcPr>
            <w:tcW w:w="1032" w:type="dxa"/>
            <w:tcBorders>
              <w:top w:val="nil"/>
              <w:left w:val="nil"/>
              <w:bottom w:val="single" w:sz="4" w:space="0" w:color="auto"/>
              <w:right w:val="single" w:sz="4" w:space="0" w:color="auto"/>
            </w:tcBorders>
            <w:shd w:val="clear" w:color="auto" w:fill="FFC000"/>
            <w:noWrap/>
            <w:vAlign w:val="center"/>
            <w:hideMark/>
          </w:tcPr>
          <w:p w14:paraId="2588C5B6" w14:textId="77777777" w:rsidR="00CC5E93" w:rsidRPr="004A5947" w:rsidRDefault="00CC5E93" w:rsidP="0084270A">
            <w:pPr>
              <w:spacing w:after="0" w:line="360" w:lineRule="auto"/>
              <w:jc w:val="both"/>
              <w:rPr>
                <w:rFonts w:ascii="BentonSans Book" w:hAnsi="BentonSans Book"/>
                <w:b/>
                <w:bCs/>
                <w:color w:val="000000"/>
              </w:rPr>
            </w:pPr>
            <w:r w:rsidRPr="004A5947">
              <w:rPr>
                <w:rFonts w:ascii="BentonSans Book" w:hAnsi="BentonSans Book"/>
                <w:b/>
                <w:bCs/>
                <w:color w:val="000000"/>
              </w:rPr>
              <w:t>Jun-15</w:t>
            </w:r>
          </w:p>
        </w:tc>
        <w:tc>
          <w:tcPr>
            <w:tcW w:w="1032" w:type="dxa"/>
            <w:tcBorders>
              <w:top w:val="nil"/>
              <w:left w:val="nil"/>
              <w:bottom w:val="single" w:sz="4" w:space="0" w:color="auto"/>
              <w:right w:val="single" w:sz="4" w:space="0" w:color="auto"/>
            </w:tcBorders>
            <w:shd w:val="clear" w:color="auto" w:fill="FFC000"/>
            <w:noWrap/>
            <w:vAlign w:val="center"/>
          </w:tcPr>
          <w:p w14:paraId="0B15AE56" w14:textId="77777777" w:rsidR="00CC5E93" w:rsidRPr="004A5947" w:rsidRDefault="00CC5E93" w:rsidP="0084270A">
            <w:pPr>
              <w:spacing w:after="0" w:line="360" w:lineRule="auto"/>
              <w:jc w:val="both"/>
              <w:rPr>
                <w:rFonts w:ascii="BentonSans Book" w:hAnsi="BentonSans Book"/>
                <w:b/>
                <w:bCs/>
                <w:color w:val="000000"/>
              </w:rPr>
            </w:pPr>
            <w:r w:rsidRPr="004A5947">
              <w:rPr>
                <w:rFonts w:ascii="BentonSans Book" w:hAnsi="BentonSans Book"/>
                <w:b/>
                <w:bCs/>
                <w:color w:val="000000"/>
              </w:rPr>
              <w:t>Jun-16</w:t>
            </w:r>
          </w:p>
        </w:tc>
        <w:tc>
          <w:tcPr>
            <w:tcW w:w="1032" w:type="dxa"/>
            <w:tcBorders>
              <w:top w:val="nil"/>
              <w:left w:val="nil"/>
              <w:bottom w:val="single" w:sz="4" w:space="0" w:color="auto"/>
              <w:right w:val="single" w:sz="4" w:space="0" w:color="auto"/>
            </w:tcBorders>
            <w:shd w:val="clear" w:color="auto" w:fill="FFC000"/>
            <w:noWrap/>
            <w:vAlign w:val="center"/>
          </w:tcPr>
          <w:p w14:paraId="59CDDD33" w14:textId="77777777" w:rsidR="00CC5E93" w:rsidRPr="004A5947" w:rsidRDefault="00CC5E93" w:rsidP="0084270A">
            <w:pPr>
              <w:spacing w:after="0" w:line="360" w:lineRule="auto"/>
              <w:jc w:val="both"/>
              <w:rPr>
                <w:rFonts w:ascii="BentonSans Book" w:hAnsi="BentonSans Book"/>
                <w:b/>
                <w:bCs/>
                <w:color w:val="000000"/>
              </w:rPr>
            </w:pPr>
            <w:r w:rsidRPr="004A5947">
              <w:rPr>
                <w:rFonts w:ascii="BentonSans Book" w:hAnsi="BentonSans Book"/>
                <w:b/>
                <w:bCs/>
                <w:color w:val="000000"/>
              </w:rPr>
              <w:t>Jun-17</w:t>
            </w:r>
          </w:p>
        </w:tc>
        <w:tc>
          <w:tcPr>
            <w:tcW w:w="1032" w:type="dxa"/>
            <w:tcBorders>
              <w:top w:val="nil"/>
              <w:left w:val="nil"/>
              <w:bottom w:val="single" w:sz="4" w:space="0" w:color="auto"/>
              <w:right w:val="single" w:sz="4" w:space="0" w:color="auto"/>
            </w:tcBorders>
            <w:shd w:val="clear" w:color="auto" w:fill="FFC000"/>
            <w:noWrap/>
            <w:vAlign w:val="center"/>
          </w:tcPr>
          <w:p w14:paraId="49ABE410" w14:textId="77777777" w:rsidR="00CC5E93" w:rsidRPr="004A5947" w:rsidRDefault="00CC5E93" w:rsidP="0084270A">
            <w:pPr>
              <w:spacing w:after="0" w:line="360" w:lineRule="auto"/>
              <w:jc w:val="both"/>
              <w:rPr>
                <w:rFonts w:ascii="BentonSans Book" w:hAnsi="BentonSans Book"/>
                <w:b/>
                <w:bCs/>
                <w:color w:val="000000"/>
              </w:rPr>
            </w:pPr>
            <w:r w:rsidRPr="004A5947">
              <w:rPr>
                <w:rFonts w:ascii="BentonSans Book" w:hAnsi="BentonSans Book"/>
                <w:b/>
                <w:bCs/>
                <w:color w:val="000000"/>
              </w:rPr>
              <w:t>Jun-18</w:t>
            </w:r>
          </w:p>
        </w:tc>
        <w:tc>
          <w:tcPr>
            <w:tcW w:w="1098" w:type="dxa"/>
            <w:tcBorders>
              <w:top w:val="nil"/>
              <w:left w:val="nil"/>
              <w:bottom w:val="single" w:sz="4" w:space="0" w:color="auto"/>
              <w:right w:val="single" w:sz="4" w:space="0" w:color="auto"/>
            </w:tcBorders>
            <w:shd w:val="clear" w:color="auto" w:fill="FFC000"/>
            <w:noWrap/>
            <w:vAlign w:val="center"/>
          </w:tcPr>
          <w:p w14:paraId="62592149" w14:textId="77777777" w:rsidR="00CC5E93" w:rsidRPr="004A5947" w:rsidRDefault="00CC5E93" w:rsidP="0084270A">
            <w:pPr>
              <w:spacing w:after="0" w:line="360" w:lineRule="auto"/>
              <w:jc w:val="both"/>
              <w:rPr>
                <w:rFonts w:ascii="BentonSans Book" w:hAnsi="BentonSans Book"/>
                <w:b/>
                <w:bCs/>
                <w:color w:val="000000"/>
              </w:rPr>
            </w:pPr>
            <w:r w:rsidRPr="004A5947">
              <w:rPr>
                <w:rFonts w:ascii="BentonSans Book" w:hAnsi="BentonSans Book"/>
                <w:b/>
                <w:bCs/>
                <w:color w:val="000000"/>
              </w:rPr>
              <w:t>Jun-19</w:t>
            </w:r>
          </w:p>
        </w:tc>
      </w:tr>
      <w:tr w:rsidR="00CC5E93" w:rsidRPr="004A5947" w14:paraId="0809FA3C" w14:textId="77777777" w:rsidTr="00CC5E93">
        <w:trPr>
          <w:trHeight w:hRule="exact" w:val="479"/>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82B1AC4"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Personal loans</w:t>
            </w:r>
          </w:p>
        </w:tc>
        <w:tc>
          <w:tcPr>
            <w:tcW w:w="1032" w:type="dxa"/>
            <w:tcBorders>
              <w:top w:val="nil"/>
              <w:left w:val="nil"/>
              <w:bottom w:val="single" w:sz="4" w:space="0" w:color="auto"/>
              <w:right w:val="single" w:sz="4" w:space="0" w:color="auto"/>
            </w:tcBorders>
            <w:shd w:val="clear" w:color="auto" w:fill="auto"/>
            <w:noWrap/>
            <w:vAlign w:val="center"/>
            <w:hideMark/>
          </w:tcPr>
          <w:p w14:paraId="68AEA831"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7.2</w:t>
            </w:r>
          </w:p>
        </w:tc>
        <w:tc>
          <w:tcPr>
            <w:tcW w:w="1032" w:type="dxa"/>
            <w:tcBorders>
              <w:top w:val="nil"/>
              <w:left w:val="nil"/>
              <w:bottom w:val="single" w:sz="4" w:space="0" w:color="auto"/>
              <w:right w:val="single" w:sz="4" w:space="0" w:color="auto"/>
            </w:tcBorders>
            <w:shd w:val="clear" w:color="auto" w:fill="auto"/>
            <w:noWrap/>
            <w:vAlign w:val="center"/>
          </w:tcPr>
          <w:p w14:paraId="0F775B96"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6.4</w:t>
            </w:r>
          </w:p>
        </w:tc>
        <w:tc>
          <w:tcPr>
            <w:tcW w:w="1032" w:type="dxa"/>
            <w:tcBorders>
              <w:top w:val="nil"/>
              <w:left w:val="nil"/>
              <w:bottom w:val="single" w:sz="4" w:space="0" w:color="auto"/>
              <w:right w:val="single" w:sz="4" w:space="0" w:color="auto"/>
            </w:tcBorders>
            <w:shd w:val="clear" w:color="auto" w:fill="auto"/>
            <w:noWrap/>
            <w:vAlign w:val="center"/>
          </w:tcPr>
          <w:p w14:paraId="71013FAA"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7.8</w:t>
            </w:r>
          </w:p>
        </w:tc>
        <w:tc>
          <w:tcPr>
            <w:tcW w:w="1032" w:type="dxa"/>
            <w:tcBorders>
              <w:top w:val="nil"/>
              <w:left w:val="nil"/>
              <w:bottom w:val="single" w:sz="4" w:space="0" w:color="auto"/>
              <w:right w:val="single" w:sz="4" w:space="0" w:color="auto"/>
            </w:tcBorders>
            <w:shd w:val="clear" w:color="auto" w:fill="auto"/>
            <w:noWrap/>
            <w:vAlign w:val="center"/>
          </w:tcPr>
          <w:p w14:paraId="57F4431C"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6.1</w:t>
            </w:r>
          </w:p>
        </w:tc>
        <w:tc>
          <w:tcPr>
            <w:tcW w:w="1098" w:type="dxa"/>
            <w:tcBorders>
              <w:top w:val="nil"/>
              <w:left w:val="nil"/>
              <w:bottom w:val="single" w:sz="4" w:space="0" w:color="auto"/>
              <w:right w:val="single" w:sz="4" w:space="0" w:color="auto"/>
            </w:tcBorders>
            <w:shd w:val="clear" w:color="auto" w:fill="auto"/>
            <w:noWrap/>
            <w:vAlign w:val="bottom"/>
          </w:tcPr>
          <w:p w14:paraId="50BF67CE"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6.0</w:t>
            </w:r>
          </w:p>
        </w:tc>
      </w:tr>
      <w:tr w:rsidR="00CC5E93" w:rsidRPr="004A5947" w14:paraId="549F46BE" w14:textId="77777777" w:rsidTr="00CC5E93">
        <w:trPr>
          <w:trHeight w:hRule="exact" w:val="352"/>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1D18FA4"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Agriculture</w:t>
            </w:r>
          </w:p>
        </w:tc>
        <w:tc>
          <w:tcPr>
            <w:tcW w:w="1032" w:type="dxa"/>
            <w:tcBorders>
              <w:top w:val="nil"/>
              <w:left w:val="nil"/>
              <w:bottom w:val="single" w:sz="4" w:space="0" w:color="auto"/>
              <w:right w:val="single" w:sz="4" w:space="0" w:color="auto"/>
            </w:tcBorders>
            <w:shd w:val="clear" w:color="auto" w:fill="auto"/>
            <w:noWrap/>
            <w:vAlign w:val="center"/>
            <w:hideMark/>
          </w:tcPr>
          <w:p w14:paraId="5F8030C3"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14.9</w:t>
            </w:r>
          </w:p>
        </w:tc>
        <w:tc>
          <w:tcPr>
            <w:tcW w:w="1032" w:type="dxa"/>
            <w:tcBorders>
              <w:top w:val="nil"/>
              <w:left w:val="nil"/>
              <w:bottom w:val="single" w:sz="4" w:space="0" w:color="auto"/>
              <w:right w:val="single" w:sz="4" w:space="0" w:color="auto"/>
            </w:tcBorders>
            <w:shd w:val="clear" w:color="auto" w:fill="auto"/>
            <w:noWrap/>
            <w:vAlign w:val="center"/>
          </w:tcPr>
          <w:p w14:paraId="53DB8CCC"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16.9</w:t>
            </w:r>
          </w:p>
        </w:tc>
        <w:tc>
          <w:tcPr>
            <w:tcW w:w="1032" w:type="dxa"/>
            <w:tcBorders>
              <w:top w:val="nil"/>
              <w:left w:val="nil"/>
              <w:bottom w:val="single" w:sz="4" w:space="0" w:color="auto"/>
              <w:right w:val="single" w:sz="4" w:space="0" w:color="auto"/>
            </w:tcBorders>
            <w:shd w:val="clear" w:color="auto" w:fill="auto"/>
            <w:noWrap/>
            <w:vAlign w:val="center"/>
          </w:tcPr>
          <w:p w14:paraId="28B5446E"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18.2</w:t>
            </w:r>
          </w:p>
        </w:tc>
        <w:tc>
          <w:tcPr>
            <w:tcW w:w="1032" w:type="dxa"/>
            <w:tcBorders>
              <w:top w:val="nil"/>
              <w:left w:val="nil"/>
              <w:bottom w:val="single" w:sz="4" w:space="0" w:color="auto"/>
              <w:right w:val="single" w:sz="4" w:space="0" w:color="auto"/>
            </w:tcBorders>
            <w:shd w:val="clear" w:color="auto" w:fill="auto"/>
            <w:noWrap/>
            <w:vAlign w:val="center"/>
          </w:tcPr>
          <w:p w14:paraId="4D0EED07"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7.2</w:t>
            </w:r>
          </w:p>
        </w:tc>
        <w:tc>
          <w:tcPr>
            <w:tcW w:w="1098" w:type="dxa"/>
            <w:tcBorders>
              <w:top w:val="nil"/>
              <w:left w:val="nil"/>
              <w:bottom w:val="single" w:sz="4" w:space="0" w:color="auto"/>
              <w:right w:val="single" w:sz="4" w:space="0" w:color="auto"/>
            </w:tcBorders>
            <w:shd w:val="clear" w:color="auto" w:fill="auto"/>
            <w:noWrap/>
            <w:vAlign w:val="bottom"/>
          </w:tcPr>
          <w:p w14:paraId="50A800CE"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5.0</w:t>
            </w:r>
          </w:p>
        </w:tc>
      </w:tr>
      <w:tr w:rsidR="00CC5E93" w:rsidRPr="004A5947" w14:paraId="01079ADB" w14:textId="77777777" w:rsidTr="00CC5E93">
        <w:trPr>
          <w:trHeight w:hRule="exact" w:val="35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D69BC5D"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Mining activities</w:t>
            </w:r>
          </w:p>
        </w:tc>
        <w:tc>
          <w:tcPr>
            <w:tcW w:w="1032" w:type="dxa"/>
            <w:tcBorders>
              <w:top w:val="nil"/>
              <w:left w:val="nil"/>
              <w:bottom w:val="single" w:sz="4" w:space="0" w:color="auto"/>
              <w:right w:val="single" w:sz="4" w:space="0" w:color="auto"/>
            </w:tcBorders>
            <w:shd w:val="clear" w:color="auto" w:fill="auto"/>
            <w:noWrap/>
            <w:vAlign w:val="center"/>
            <w:hideMark/>
          </w:tcPr>
          <w:p w14:paraId="5C6C37B7"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2.8</w:t>
            </w:r>
          </w:p>
        </w:tc>
        <w:tc>
          <w:tcPr>
            <w:tcW w:w="1032" w:type="dxa"/>
            <w:tcBorders>
              <w:top w:val="nil"/>
              <w:left w:val="nil"/>
              <w:bottom w:val="single" w:sz="4" w:space="0" w:color="auto"/>
              <w:right w:val="single" w:sz="4" w:space="0" w:color="auto"/>
            </w:tcBorders>
            <w:shd w:val="clear" w:color="auto" w:fill="auto"/>
            <w:noWrap/>
            <w:vAlign w:val="center"/>
          </w:tcPr>
          <w:p w14:paraId="3EA2521B"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0.9</w:t>
            </w:r>
          </w:p>
        </w:tc>
        <w:tc>
          <w:tcPr>
            <w:tcW w:w="1032" w:type="dxa"/>
            <w:tcBorders>
              <w:top w:val="nil"/>
              <w:left w:val="nil"/>
              <w:bottom w:val="single" w:sz="4" w:space="0" w:color="auto"/>
              <w:right w:val="single" w:sz="4" w:space="0" w:color="auto"/>
            </w:tcBorders>
            <w:shd w:val="clear" w:color="auto" w:fill="auto"/>
            <w:noWrap/>
            <w:vAlign w:val="center"/>
          </w:tcPr>
          <w:p w14:paraId="74349B7D"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0</w:t>
            </w:r>
          </w:p>
        </w:tc>
        <w:tc>
          <w:tcPr>
            <w:tcW w:w="1032" w:type="dxa"/>
            <w:tcBorders>
              <w:top w:val="nil"/>
              <w:left w:val="nil"/>
              <w:bottom w:val="single" w:sz="4" w:space="0" w:color="auto"/>
              <w:right w:val="single" w:sz="4" w:space="0" w:color="auto"/>
            </w:tcBorders>
            <w:shd w:val="clear" w:color="auto" w:fill="auto"/>
            <w:noWrap/>
            <w:vAlign w:val="center"/>
          </w:tcPr>
          <w:p w14:paraId="213E07C4"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0.6</w:t>
            </w:r>
          </w:p>
        </w:tc>
        <w:tc>
          <w:tcPr>
            <w:tcW w:w="1098" w:type="dxa"/>
            <w:tcBorders>
              <w:top w:val="nil"/>
              <w:left w:val="nil"/>
              <w:bottom w:val="single" w:sz="4" w:space="0" w:color="auto"/>
              <w:right w:val="single" w:sz="4" w:space="0" w:color="auto"/>
            </w:tcBorders>
            <w:shd w:val="clear" w:color="auto" w:fill="auto"/>
            <w:noWrap/>
            <w:vAlign w:val="bottom"/>
          </w:tcPr>
          <w:p w14:paraId="63BCBFB2"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88.4</w:t>
            </w:r>
          </w:p>
        </w:tc>
      </w:tr>
      <w:tr w:rsidR="00CC5E93" w:rsidRPr="004A5947" w14:paraId="034F9070" w14:textId="77777777" w:rsidTr="00CC5E93">
        <w:trPr>
          <w:trHeight w:hRule="exact" w:val="35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BCC7C0F"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Manufacturing</w:t>
            </w:r>
          </w:p>
        </w:tc>
        <w:tc>
          <w:tcPr>
            <w:tcW w:w="1032" w:type="dxa"/>
            <w:tcBorders>
              <w:top w:val="nil"/>
              <w:left w:val="nil"/>
              <w:bottom w:val="single" w:sz="4" w:space="0" w:color="auto"/>
              <w:right w:val="single" w:sz="4" w:space="0" w:color="auto"/>
            </w:tcBorders>
            <w:shd w:val="clear" w:color="auto" w:fill="auto"/>
            <w:noWrap/>
            <w:vAlign w:val="center"/>
            <w:hideMark/>
          </w:tcPr>
          <w:p w14:paraId="0EBFFD48"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1.1</w:t>
            </w:r>
          </w:p>
        </w:tc>
        <w:tc>
          <w:tcPr>
            <w:tcW w:w="1032" w:type="dxa"/>
            <w:tcBorders>
              <w:top w:val="nil"/>
              <w:left w:val="nil"/>
              <w:bottom w:val="single" w:sz="4" w:space="0" w:color="auto"/>
              <w:right w:val="single" w:sz="4" w:space="0" w:color="auto"/>
            </w:tcBorders>
            <w:shd w:val="clear" w:color="auto" w:fill="auto"/>
            <w:noWrap/>
            <w:vAlign w:val="center"/>
          </w:tcPr>
          <w:p w14:paraId="76646A1D"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6</w:t>
            </w:r>
          </w:p>
        </w:tc>
        <w:tc>
          <w:tcPr>
            <w:tcW w:w="1032" w:type="dxa"/>
            <w:tcBorders>
              <w:top w:val="nil"/>
              <w:left w:val="nil"/>
              <w:bottom w:val="single" w:sz="4" w:space="0" w:color="auto"/>
              <w:right w:val="single" w:sz="4" w:space="0" w:color="auto"/>
            </w:tcBorders>
            <w:shd w:val="clear" w:color="auto" w:fill="auto"/>
            <w:noWrap/>
            <w:vAlign w:val="center"/>
          </w:tcPr>
          <w:p w14:paraId="0547D083"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8.8</w:t>
            </w:r>
          </w:p>
        </w:tc>
        <w:tc>
          <w:tcPr>
            <w:tcW w:w="1032" w:type="dxa"/>
            <w:tcBorders>
              <w:top w:val="nil"/>
              <w:left w:val="nil"/>
              <w:bottom w:val="single" w:sz="4" w:space="0" w:color="auto"/>
              <w:right w:val="single" w:sz="4" w:space="0" w:color="auto"/>
            </w:tcBorders>
            <w:shd w:val="clear" w:color="auto" w:fill="auto"/>
            <w:noWrap/>
            <w:vAlign w:val="center"/>
          </w:tcPr>
          <w:p w14:paraId="2F16F819"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13.9</w:t>
            </w:r>
          </w:p>
        </w:tc>
        <w:tc>
          <w:tcPr>
            <w:tcW w:w="1098" w:type="dxa"/>
            <w:tcBorders>
              <w:top w:val="nil"/>
              <w:left w:val="nil"/>
              <w:bottom w:val="single" w:sz="4" w:space="0" w:color="auto"/>
              <w:right w:val="single" w:sz="4" w:space="0" w:color="auto"/>
            </w:tcBorders>
            <w:shd w:val="clear" w:color="auto" w:fill="auto"/>
            <w:noWrap/>
            <w:vAlign w:val="bottom"/>
          </w:tcPr>
          <w:p w14:paraId="1F38AE00"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1.3</w:t>
            </w:r>
          </w:p>
        </w:tc>
      </w:tr>
      <w:tr w:rsidR="00CC5E93" w:rsidRPr="004A5947" w14:paraId="14C66C8B" w14:textId="77777777" w:rsidTr="00CC5E93">
        <w:trPr>
          <w:trHeight w:hRule="exact" w:val="35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E64D84E"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Water &amp; energy</w:t>
            </w:r>
          </w:p>
        </w:tc>
        <w:tc>
          <w:tcPr>
            <w:tcW w:w="1032" w:type="dxa"/>
            <w:tcBorders>
              <w:top w:val="nil"/>
              <w:left w:val="nil"/>
              <w:bottom w:val="single" w:sz="4" w:space="0" w:color="auto"/>
              <w:right w:val="single" w:sz="4" w:space="0" w:color="auto"/>
            </w:tcBorders>
            <w:shd w:val="clear" w:color="auto" w:fill="auto"/>
            <w:noWrap/>
            <w:vAlign w:val="center"/>
            <w:hideMark/>
          </w:tcPr>
          <w:p w14:paraId="1DCAE3FC"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2.6</w:t>
            </w:r>
          </w:p>
        </w:tc>
        <w:tc>
          <w:tcPr>
            <w:tcW w:w="1032" w:type="dxa"/>
            <w:tcBorders>
              <w:top w:val="nil"/>
              <w:left w:val="nil"/>
              <w:bottom w:val="single" w:sz="4" w:space="0" w:color="auto"/>
              <w:right w:val="single" w:sz="4" w:space="0" w:color="auto"/>
            </w:tcBorders>
            <w:shd w:val="clear" w:color="auto" w:fill="auto"/>
            <w:noWrap/>
            <w:vAlign w:val="center"/>
          </w:tcPr>
          <w:p w14:paraId="0B98F525"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0.2</w:t>
            </w:r>
          </w:p>
        </w:tc>
        <w:tc>
          <w:tcPr>
            <w:tcW w:w="1032" w:type="dxa"/>
            <w:tcBorders>
              <w:top w:val="nil"/>
              <w:left w:val="nil"/>
              <w:bottom w:val="single" w:sz="4" w:space="0" w:color="auto"/>
              <w:right w:val="single" w:sz="4" w:space="0" w:color="auto"/>
            </w:tcBorders>
            <w:shd w:val="clear" w:color="auto" w:fill="auto"/>
            <w:noWrap/>
            <w:vAlign w:val="center"/>
          </w:tcPr>
          <w:p w14:paraId="06014192"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0.1</w:t>
            </w:r>
          </w:p>
        </w:tc>
        <w:tc>
          <w:tcPr>
            <w:tcW w:w="1032" w:type="dxa"/>
            <w:tcBorders>
              <w:top w:val="nil"/>
              <w:left w:val="nil"/>
              <w:bottom w:val="single" w:sz="4" w:space="0" w:color="auto"/>
              <w:right w:val="single" w:sz="4" w:space="0" w:color="auto"/>
            </w:tcBorders>
            <w:shd w:val="clear" w:color="auto" w:fill="auto"/>
            <w:noWrap/>
            <w:vAlign w:val="center"/>
          </w:tcPr>
          <w:p w14:paraId="793D2932"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0.0</w:t>
            </w:r>
          </w:p>
        </w:tc>
        <w:tc>
          <w:tcPr>
            <w:tcW w:w="1098" w:type="dxa"/>
            <w:tcBorders>
              <w:top w:val="nil"/>
              <w:left w:val="nil"/>
              <w:bottom w:val="single" w:sz="4" w:space="0" w:color="auto"/>
              <w:right w:val="single" w:sz="4" w:space="0" w:color="auto"/>
            </w:tcBorders>
            <w:shd w:val="clear" w:color="auto" w:fill="auto"/>
            <w:noWrap/>
            <w:vAlign w:val="bottom"/>
          </w:tcPr>
          <w:p w14:paraId="3A6254FB"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0.0</w:t>
            </w:r>
          </w:p>
        </w:tc>
      </w:tr>
      <w:tr w:rsidR="00CC5E93" w:rsidRPr="004A5947" w14:paraId="227951B1" w14:textId="77777777" w:rsidTr="00CC5E93">
        <w:trPr>
          <w:trHeight w:hRule="exact" w:val="35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B3EDF66"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Mortgage industries</w:t>
            </w:r>
          </w:p>
        </w:tc>
        <w:tc>
          <w:tcPr>
            <w:tcW w:w="1032" w:type="dxa"/>
            <w:tcBorders>
              <w:top w:val="nil"/>
              <w:left w:val="nil"/>
              <w:bottom w:val="single" w:sz="4" w:space="0" w:color="auto"/>
              <w:right w:val="single" w:sz="4" w:space="0" w:color="auto"/>
            </w:tcBorders>
            <w:shd w:val="clear" w:color="auto" w:fill="auto"/>
            <w:noWrap/>
            <w:vAlign w:val="center"/>
            <w:hideMark/>
          </w:tcPr>
          <w:p w14:paraId="560D09CB"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4.5</w:t>
            </w:r>
          </w:p>
        </w:tc>
        <w:tc>
          <w:tcPr>
            <w:tcW w:w="1032" w:type="dxa"/>
            <w:tcBorders>
              <w:top w:val="nil"/>
              <w:left w:val="nil"/>
              <w:bottom w:val="single" w:sz="4" w:space="0" w:color="auto"/>
              <w:right w:val="single" w:sz="4" w:space="0" w:color="auto"/>
            </w:tcBorders>
            <w:shd w:val="clear" w:color="auto" w:fill="auto"/>
            <w:noWrap/>
            <w:vAlign w:val="center"/>
          </w:tcPr>
          <w:p w14:paraId="4D3DA45C"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5.1</w:t>
            </w:r>
          </w:p>
        </w:tc>
        <w:tc>
          <w:tcPr>
            <w:tcW w:w="1032" w:type="dxa"/>
            <w:tcBorders>
              <w:top w:val="nil"/>
              <w:left w:val="nil"/>
              <w:bottom w:val="single" w:sz="4" w:space="0" w:color="auto"/>
              <w:right w:val="single" w:sz="4" w:space="0" w:color="auto"/>
            </w:tcBorders>
            <w:shd w:val="clear" w:color="auto" w:fill="auto"/>
            <w:noWrap/>
            <w:vAlign w:val="center"/>
          </w:tcPr>
          <w:p w14:paraId="50D741AD"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5.8</w:t>
            </w:r>
          </w:p>
        </w:tc>
        <w:tc>
          <w:tcPr>
            <w:tcW w:w="1032" w:type="dxa"/>
            <w:tcBorders>
              <w:top w:val="nil"/>
              <w:left w:val="nil"/>
              <w:bottom w:val="single" w:sz="4" w:space="0" w:color="auto"/>
              <w:right w:val="single" w:sz="4" w:space="0" w:color="auto"/>
            </w:tcBorders>
            <w:shd w:val="clear" w:color="auto" w:fill="auto"/>
            <w:noWrap/>
            <w:vAlign w:val="center"/>
          </w:tcPr>
          <w:p w14:paraId="6CFF6508"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5.3</w:t>
            </w:r>
          </w:p>
        </w:tc>
        <w:tc>
          <w:tcPr>
            <w:tcW w:w="1098" w:type="dxa"/>
            <w:tcBorders>
              <w:top w:val="nil"/>
              <w:left w:val="nil"/>
              <w:bottom w:val="single" w:sz="4" w:space="0" w:color="auto"/>
              <w:right w:val="single" w:sz="4" w:space="0" w:color="auto"/>
            </w:tcBorders>
            <w:shd w:val="clear" w:color="auto" w:fill="auto"/>
            <w:noWrap/>
            <w:vAlign w:val="bottom"/>
          </w:tcPr>
          <w:p w14:paraId="1CD3E649"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4.0</w:t>
            </w:r>
          </w:p>
        </w:tc>
      </w:tr>
      <w:tr w:rsidR="00CC5E93" w:rsidRPr="004A5947" w14:paraId="36838380" w14:textId="77777777" w:rsidTr="00CC5E93">
        <w:trPr>
          <w:trHeight w:hRule="exact" w:val="35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33FA608"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Trade</w:t>
            </w:r>
          </w:p>
        </w:tc>
        <w:tc>
          <w:tcPr>
            <w:tcW w:w="1032" w:type="dxa"/>
            <w:tcBorders>
              <w:top w:val="nil"/>
              <w:left w:val="nil"/>
              <w:bottom w:val="single" w:sz="4" w:space="0" w:color="auto"/>
              <w:right w:val="single" w:sz="4" w:space="0" w:color="auto"/>
            </w:tcBorders>
            <w:shd w:val="clear" w:color="auto" w:fill="auto"/>
            <w:noWrap/>
            <w:vAlign w:val="center"/>
            <w:hideMark/>
          </w:tcPr>
          <w:p w14:paraId="5BD13342"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7.1</w:t>
            </w:r>
          </w:p>
        </w:tc>
        <w:tc>
          <w:tcPr>
            <w:tcW w:w="1032" w:type="dxa"/>
            <w:tcBorders>
              <w:top w:val="nil"/>
              <w:left w:val="nil"/>
              <w:bottom w:val="single" w:sz="4" w:space="0" w:color="auto"/>
              <w:right w:val="single" w:sz="4" w:space="0" w:color="auto"/>
            </w:tcBorders>
            <w:shd w:val="clear" w:color="auto" w:fill="auto"/>
            <w:noWrap/>
            <w:vAlign w:val="center"/>
          </w:tcPr>
          <w:p w14:paraId="03A84738"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6.9</w:t>
            </w:r>
          </w:p>
        </w:tc>
        <w:tc>
          <w:tcPr>
            <w:tcW w:w="1032" w:type="dxa"/>
            <w:tcBorders>
              <w:top w:val="nil"/>
              <w:left w:val="nil"/>
              <w:bottom w:val="single" w:sz="4" w:space="0" w:color="auto"/>
              <w:right w:val="single" w:sz="4" w:space="0" w:color="auto"/>
            </w:tcBorders>
            <w:shd w:val="clear" w:color="auto" w:fill="auto"/>
            <w:noWrap/>
            <w:vAlign w:val="center"/>
          </w:tcPr>
          <w:p w14:paraId="69C0D375"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8.8</w:t>
            </w:r>
          </w:p>
        </w:tc>
        <w:tc>
          <w:tcPr>
            <w:tcW w:w="1032" w:type="dxa"/>
            <w:tcBorders>
              <w:top w:val="nil"/>
              <w:left w:val="nil"/>
              <w:bottom w:val="single" w:sz="4" w:space="0" w:color="auto"/>
              <w:right w:val="single" w:sz="4" w:space="0" w:color="auto"/>
            </w:tcBorders>
            <w:shd w:val="clear" w:color="auto" w:fill="auto"/>
            <w:noWrap/>
            <w:vAlign w:val="center"/>
          </w:tcPr>
          <w:p w14:paraId="257D1E7A"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11.5</w:t>
            </w:r>
          </w:p>
        </w:tc>
        <w:tc>
          <w:tcPr>
            <w:tcW w:w="1098" w:type="dxa"/>
            <w:tcBorders>
              <w:top w:val="nil"/>
              <w:left w:val="nil"/>
              <w:bottom w:val="single" w:sz="4" w:space="0" w:color="auto"/>
              <w:right w:val="single" w:sz="4" w:space="0" w:color="auto"/>
            </w:tcBorders>
            <w:shd w:val="clear" w:color="auto" w:fill="auto"/>
            <w:noWrap/>
            <w:vAlign w:val="bottom"/>
          </w:tcPr>
          <w:p w14:paraId="4C06E22C"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15.0</w:t>
            </w:r>
          </w:p>
        </w:tc>
      </w:tr>
      <w:tr w:rsidR="00CC5E93" w:rsidRPr="004A5947" w14:paraId="31CA52D6" w14:textId="77777777" w:rsidTr="00CC5E93">
        <w:trPr>
          <w:trHeight w:hRule="exact" w:val="35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E589599"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Hotels</w:t>
            </w:r>
          </w:p>
        </w:tc>
        <w:tc>
          <w:tcPr>
            <w:tcW w:w="1032" w:type="dxa"/>
            <w:tcBorders>
              <w:top w:val="nil"/>
              <w:left w:val="nil"/>
              <w:bottom w:val="single" w:sz="4" w:space="0" w:color="auto"/>
              <w:right w:val="single" w:sz="4" w:space="0" w:color="auto"/>
            </w:tcBorders>
            <w:shd w:val="clear" w:color="auto" w:fill="auto"/>
            <w:noWrap/>
            <w:vAlign w:val="center"/>
            <w:hideMark/>
          </w:tcPr>
          <w:p w14:paraId="576FEF17"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6.1</w:t>
            </w:r>
          </w:p>
        </w:tc>
        <w:tc>
          <w:tcPr>
            <w:tcW w:w="1032" w:type="dxa"/>
            <w:tcBorders>
              <w:top w:val="nil"/>
              <w:left w:val="nil"/>
              <w:bottom w:val="single" w:sz="4" w:space="0" w:color="auto"/>
              <w:right w:val="single" w:sz="4" w:space="0" w:color="auto"/>
            </w:tcBorders>
            <w:shd w:val="clear" w:color="auto" w:fill="auto"/>
            <w:noWrap/>
            <w:vAlign w:val="center"/>
          </w:tcPr>
          <w:p w14:paraId="7C341D65"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9</w:t>
            </w:r>
          </w:p>
        </w:tc>
        <w:tc>
          <w:tcPr>
            <w:tcW w:w="1032" w:type="dxa"/>
            <w:tcBorders>
              <w:top w:val="nil"/>
              <w:left w:val="nil"/>
              <w:bottom w:val="single" w:sz="4" w:space="0" w:color="auto"/>
              <w:right w:val="single" w:sz="4" w:space="0" w:color="auto"/>
            </w:tcBorders>
            <w:shd w:val="clear" w:color="auto" w:fill="auto"/>
            <w:noWrap/>
            <w:vAlign w:val="center"/>
          </w:tcPr>
          <w:p w14:paraId="765895F0"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9.8</w:t>
            </w:r>
          </w:p>
        </w:tc>
        <w:tc>
          <w:tcPr>
            <w:tcW w:w="1032" w:type="dxa"/>
            <w:tcBorders>
              <w:top w:val="nil"/>
              <w:left w:val="nil"/>
              <w:bottom w:val="single" w:sz="4" w:space="0" w:color="auto"/>
              <w:right w:val="single" w:sz="4" w:space="0" w:color="auto"/>
            </w:tcBorders>
            <w:shd w:val="clear" w:color="auto" w:fill="auto"/>
            <w:noWrap/>
            <w:vAlign w:val="center"/>
          </w:tcPr>
          <w:p w14:paraId="3F7D07E8"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11</w:t>
            </w:r>
          </w:p>
        </w:tc>
        <w:tc>
          <w:tcPr>
            <w:tcW w:w="1098" w:type="dxa"/>
            <w:tcBorders>
              <w:top w:val="nil"/>
              <w:left w:val="nil"/>
              <w:bottom w:val="single" w:sz="4" w:space="0" w:color="auto"/>
              <w:right w:val="single" w:sz="4" w:space="0" w:color="auto"/>
            </w:tcBorders>
            <w:shd w:val="clear" w:color="auto" w:fill="auto"/>
            <w:noWrap/>
            <w:vAlign w:val="bottom"/>
          </w:tcPr>
          <w:p w14:paraId="3AA52287"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8.8</w:t>
            </w:r>
          </w:p>
        </w:tc>
      </w:tr>
      <w:tr w:rsidR="00CC5E93" w:rsidRPr="004A5947" w14:paraId="153AA9F0" w14:textId="77777777" w:rsidTr="00CC5E93">
        <w:trPr>
          <w:trHeight w:hRule="exact" w:val="35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9D8AF70"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Transport &amp; Communication</w:t>
            </w:r>
          </w:p>
        </w:tc>
        <w:tc>
          <w:tcPr>
            <w:tcW w:w="1032" w:type="dxa"/>
            <w:tcBorders>
              <w:top w:val="nil"/>
              <w:left w:val="nil"/>
              <w:bottom w:val="single" w:sz="4" w:space="0" w:color="auto"/>
              <w:right w:val="single" w:sz="4" w:space="0" w:color="auto"/>
            </w:tcBorders>
            <w:shd w:val="clear" w:color="auto" w:fill="auto"/>
            <w:noWrap/>
            <w:vAlign w:val="center"/>
            <w:hideMark/>
          </w:tcPr>
          <w:p w14:paraId="48CF3168"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4</w:t>
            </w:r>
          </w:p>
        </w:tc>
        <w:tc>
          <w:tcPr>
            <w:tcW w:w="1032" w:type="dxa"/>
            <w:tcBorders>
              <w:top w:val="nil"/>
              <w:left w:val="nil"/>
              <w:bottom w:val="single" w:sz="4" w:space="0" w:color="auto"/>
              <w:right w:val="single" w:sz="4" w:space="0" w:color="auto"/>
            </w:tcBorders>
            <w:shd w:val="clear" w:color="auto" w:fill="auto"/>
            <w:noWrap/>
            <w:vAlign w:val="center"/>
          </w:tcPr>
          <w:p w14:paraId="4FA734D4"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3.1</w:t>
            </w:r>
          </w:p>
        </w:tc>
        <w:tc>
          <w:tcPr>
            <w:tcW w:w="1032" w:type="dxa"/>
            <w:tcBorders>
              <w:top w:val="nil"/>
              <w:left w:val="nil"/>
              <w:bottom w:val="single" w:sz="4" w:space="0" w:color="auto"/>
              <w:right w:val="single" w:sz="4" w:space="0" w:color="auto"/>
            </w:tcBorders>
            <w:shd w:val="clear" w:color="auto" w:fill="auto"/>
            <w:noWrap/>
            <w:vAlign w:val="center"/>
          </w:tcPr>
          <w:p w14:paraId="5CA27EE2"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3</w:t>
            </w:r>
          </w:p>
        </w:tc>
        <w:tc>
          <w:tcPr>
            <w:tcW w:w="1032" w:type="dxa"/>
            <w:tcBorders>
              <w:top w:val="nil"/>
              <w:left w:val="nil"/>
              <w:bottom w:val="single" w:sz="4" w:space="0" w:color="auto"/>
              <w:right w:val="single" w:sz="4" w:space="0" w:color="auto"/>
            </w:tcBorders>
            <w:shd w:val="clear" w:color="auto" w:fill="auto"/>
            <w:noWrap/>
            <w:vAlign w:val="center"/>
          </w:tcPr>
          <w:p w14:paraId="60EA8415"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2.6</w:t>
            </w:r>
          </w:p>
        </w:tc>
        <w:tc>
          <w:tcPr>
            <w:tcW w:w="1098" w:type="dxa"/>
            <w:tcBorders>
              <w:top w:val="nil"/>
              <w:left w:val="nil"/>
              <w:bottom w:val="single" w:sz="4" w:space="0" w:color="auto"/>
              <w:right w:val="single" w:sz="4" w:space="0" w:color="auto"/>
            </w:tcBorders>
            <w:shd w:val="clear" w:color="auto" w:fill="auto"/>
            <w:noWrap/>
            <w:vAlign w:val="bottom"/>
          </w:tcPr>
          <w:p w14:paraId="1FDA0D9F"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1.9</w:t>
            </w:r>
          </w:p>
        </w:tc>
      </w:tr>
      <w:tr w:rsidR="00CC5E93" w:rsidRPr="004A5947" w14:paraId="176371AA" w14:textId="77777777" w:rsidTr="00CC5E93">
        <w:trPr>
          <w:trHeight w:hRule="exact" w:val="355"/>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69613B7"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OFI &amp;Insurance</w:t>
            </w:r>
          </w:p>
        </w:tc>
        <w:tc>
          <w:tcPr>
            <w:tcW w:w="1032" w:type="dxa"/>
            <w:tcBorders>
              <w:top w:val="nil"/>
              <w:left w:val="nil"/>
              <w:bottom w:val="single" w:sz="4" w:space="0" w:color="auto"/>
              <w:right w:val="single" w:sz="4" w:space="0" w:color="auto"/>
            </w:tcBorders>
            <w:shd w:val="clear" w:color="auto" w:fill="auto"/>
            <w:noWrap/>
            <w:vAlign w:val="center"/>
            <w:hideMark/>
          </w:tcPr>
          <w:p w14:paraId="467EF772"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4.2</w:t>
            </w:r>
          </w:p>
        </w:tc>
        <w:tc>
          <w:tcPr>
            <w:tcW w:w="1032" w:type="dxa"/>
            <w:tcBorders>
              <w:top w:val="nil"/>
              <w:left w:val="nil"/>
              <w:bottom w:val="single" w:sz="4" w:space="0" w:color="auto"/>
              <w:right w:val="single" w:sz="4" w:space="0" w:color="auto"/>
            </w:tcBorders>
            <w:shd w:val="clear" w:color="auto" w:fill="auto"/>
            <w:noWrap/>
            <w:vAlign w:val="center"/>
          </w:tcPr>
          <w:p w14:paraId="0FE7B173"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4.2</w:t>
            </w:r>
          </w:p>
        </w:tc>
        <w:tc>
          <w:tcPr>
            <w:tcW w:w="1032" w:type="dxa"/>
            <w:tcBorders>
              <w:top w:val="nil"/>
              <w:left w:val="nil"/>
              <w:bottom w:val="single" w:sz="4" w:space="0" w:color="auto"/>
              <w:right w:val="single" w:sz="4" w:space="0" w:color="auto"/>
            </w:tcBorders>
            <w:shd w:val="clear" w:color="auto" w:fill="auto"/>
            <w:noWrap/>
            <w:vAlign w:val="center"/>
          </w:tcPr>
          <w:p w14:paraId="468F44DF"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0.4</w:t>
            </w:r>
          </w:p>
        </w:tc>
        <w:tc>
          <w:tcPr>
            <w:tcW w:w="1032" w:type="dxa"/>
            <w:tcBorders>
              <w:top w:val="nil"/>
              <w:left w:val="nil"/>
              <w:bottom w:val="single" w:sz="4" w:space="0" w:color="auto"/>
              <w:right w:val="single" w:sz="4" w:space="0" w:color="auto"/>
            </w:tcBorders>
            <w:shd w:val="clear" w:color="auto" w:fill="auto"/>
            <w:noWrap/>
            <w:vAlign w:val="center"/>
          </w:tcPr>
          <w:p w14:paraId="0151EC6B"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0.4</w:t>
            </w:r>
          </w:p>
        </w:tc>
        <w:tc>
          <w:tcPr>
            <w:tcW w:w="1098" w:type="dxa"/>
            <w:tcBorders>
              <w:top w:val="nil"/>
              <w:left w:val="nil"/>
              <w:bottom w:val="single" w:sz="4" w:space="0" w:color="auto"/>
              <w:right w:val="single" w:sz="4" w:space="0" w:color="auto"/>
            </w:tcBorders>
            <w:shd w:val="clear" w:color="auto" w:fill="auto"/>
            <w:noWrap/>
            <w:vAlign w:val="bottom"/>
          </w:tcPr>
          <w:p w14:paraId="3EE76A56"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1.7</w:t>
            </w:r>
          </w:p>
        </w:tc>
      </w:tr>
      <w:tr w:rsidR="00CC5E93" w:rsidRPr="004A5947" w14:paraId="61AB7542" w14:textId="77777777" w:rsidTr="00CC5E93">
        <w:trPr>
          <w:trHeight w:val="332"/>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D0C53A2" w14:textId="77777777" w:rsidR="00CC5E93" w:rsidRPr="004A5947" w:rsidRDefault="00CC5E93" w:rsidP="0084270A">
            <w:pPr>
              <w:spacing w:after="0" w:line="360" w:lineRule="auto"/>
              <w:rPr>
                <w:rFonts w:ascii="BentonSans Book" w:hAnsi="BentonSans Book"/>
                <w:color w:val="000000"/>
              </w:rPr>
            </w:pPr>
            <w:r w:rsidRPr="004A5947">
              <w:rPr>
                <w:rFonts w:ascii="BentonSans Book" w:hAnsi="BentonSans Book"/>
                <w:color w:val="000000"/>
              </w:rPr>
              <w:t>Other services</w:t>
            </w:r>
          </w:p>
        </w:tc>
        <w:tc>
          <w:tcPr>
            <w:tcW w:w="1032" w:type="dxa"/>
            <w:tcBorders>
              <w:top w:val="nil"/>
              <w:left w:val="nil"/>
              <w:bottom w:val="single" w:sz="4" w:space="0" w:color="auto"/>
              <w:right w:val="single" w:sz="4" w:space="0" w:color="auto"/>
            </w:tcBorders>
            <w:shd w:val="clear" w:color="auto" w:fill="auto"/>
            <w:noWrap/>
            <w:vAlign w:val="center"/>
            <w:hideMark/>
          </w:tcPr>
          <w:p w14:paraId="3CF155A1"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6.5</w:t>
            </w:r>
          </w:p>
        </w:tc>
        <w:tc>
          <w:tcPr>
            <w:tcW w:w="1032" w:type="dxa"/>
            <w:tcBorders>
              <w:top w:val="nil"/>
              <w:left w:val="nil"/>
              <w:bottom w:val="single" w:sz="4" w:space="0" w:color="auto"/>
              <w:right w:val="single" w:sz="4" w:space="0" w:color="auto"/>
            </w:tcBorders>
            <w:shd w:val="clear" w:color="auto" w:fill="auto"/>
            <w:noWrap/>
            <w:vAlign w:val="center"/>
          </w:tcPr>
          <w:p w14:paraId="116ECAEC"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4.5</w:t>
            </w:r>
          </w:p>
        </w:tc>
        <w:tc>
          <w:tcPr>
            <w:tcW w:w="1032" w:type="dxa"/>
            <w:tcBorders>
              <w:top w:val="nil"/>
              <w:left w:val="nil"/>
              <w:bottom w:val="single" w:sz="4" w:space="0" w:color="auto"/>
              <w:right w:val="single" w:sz="4" w:space="0" w:color="auto"/>
            </w:tcBorders>
            <w:shd w:val="clear" w:color="auto" w:fill="auto"/>
            <w:noWrap/>
            <w:vAlign w:val="center"/>
          </w:tcPr>
          <w:p w14:paraId="626B7382"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10.7</w:t>
            </w:r>
          </w:p>
        </w:tc>
        <w:tc>
          <w:tcPr>
            <w:tcW w:w="1032" w:type="dxa"/>
            <w:tcBorders>
              <w:top w:val="nil"/>
              <w:left w:val="nil"/>
              <w:bottom w:val="single" w:sz="4" w:space="0" w:color="auto"/>
              <w:right w:val="single" w:sz="4" w:space="0" w:color="auto"/>
            </w:tcBorders>
            <w:shd w:val="clear" w:color="auto" w:fill="auto"/>
            <w:noWrap/>
            <w:vAlign w:val="center"/>
          </w:tcPr>
          <w:p w14:paraId="4F3B2FC5"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8.9</w:t>
            </w:r>
          </w:p>
        </w:tc>
        <w:tc>
          <w:tcPr>
            <w:tcW w:w="1098" w:type="dxa"/>
            <w:tcBorders>
              <w:top w:val="nil"/>
              <w:left w:val="nil"/>
              <w:bottom w:val="single" w:sz="4" w:space="0" w:color="auto"/>
              <w:right w:val="single" w:sz="4" w:space="0" w:color="auto"/>
            </w:tcBorders>
            <w:shd w:val="clear" w:color="auto" w:fill="auto"/>
            <w:noWrap/>
            <w:vAlign w:val="bottom"/>
          </w:tcPr>
          <w:p w14:paraId="2CA487D6" w14:textId="77777777" w:rsidR="00CC5E93" w:rsidRPr="004A5947" w:rsidRDefault="00CC5E93" w:rsidP="0084270A">
            <w:pPr>
              <w:spacing w:after="0" w:line="360" w:lineRule="auto"/>
              <w:jc w:val="center"/>
              <w:rPr>
                <w:rFonts w:ascii="BentonSans Book" w:hAnsi="BentonSans Book"/>
                <w:color w:val="000000"/>
              </w:rPr>
            </w:pPr>
            <w:r w:rsidRPr="004A5947">
              <w:rPr>
                <w:rFonts w:ascii="BentonSans Book" w:hAnsi="BentonSans Book"/>
                <w:color w:val="000000"/>
              </w:rPr>
              <w:t>6.7</w:t>
            </w:r>
          </w:p>
        </w:tc>
      </w:tr>
    </w:tbl>
    <w:p w14:paraId="2EE8C975" w14:textId="242F731F" w:rsidR="00D32173" w:rsidRDefault="0088665D" w:rsidP="001F143C">
      <w:pPr>
        <w:rPr>
          <w:rFonts w:ascii="BentonSans Book" w:hAnsi="BentonSans Book"/>
        </w:rPr>
      </w:pPr>
      <w:r w:rsidRPr="009D1113">
        <w:rPr>
          <w:rFonts w:ascii="BentonSans Book" w:hAnsi="BentonSans Book"/>
          <w:b/>
        </w:rPr>
        <w:t>Source:</w:t>
      </w:r>
      <w:r w:rsidRPr="009D1113">
        <w:rPr>
          <w:rFonts w:ascii="BentonSans Book" w:hAnsi="BentonSans Book"/>
        </w:rPr>
        <w:t xml:space="preserve"> Credit Survey Findings</w:t>
      </w:r>
    </w:p>
    <w:p w14:paraId="4B602369" w14:textId="1456593D" w:rsidR="006D182C" w:rsidRDefault="006D182C" w:rsidP="001F143C">
      <w:pPr>
        <w:rPr>
          <w:rFonts w:ascii="BentonSans Book" w:hAnsi="BentonSans Book"/>
        </w:rPr>
      </w:pPr>
    </w:p>
    <w:p w14:paraId="4FAA27FD" w14:textId="77777777" w:rsidR="006D182C" w:rsidRDefault="006D182C" w:rsidP="001F143C"/>
    <w:p w14:paraId="2A0923D4" w14:textId="77777777" w:rsidR="0088665D" w:rsidRDefault="0088665D" w:rsidP="00D169DD">
      <w:pPr>
        <w:rPr>
          <w:rFonts w:ascii="BentonSans Book" w:hAnsi="BentonSans Book"/>
          <w:b/>
        </w:rPr>
      </w:pPr>
    </w:p>
    <w:p w14:paraId="3B464E93" w14:textId="77777777" w:rsidR="00E71550" w:rsidRDefault="00E71550" w:rsidP="00870E7F">
      <w:pPr>
        <w:spacing w:line="276" w:lineRule="auto"/>
        <w:rPr>
          <w:rFonts w:ascii="BentonSans Black" w:hAnsi="BentonSans Black"/>
          <w:b/>
        </w:rPr>
      </w:pPr>
    </w:p>
    <w:p w14:paraId="7AE53498" w14:textId="281EA901" w:rsidR="00E75BAA" w:rsidRPr="00B709F4" w:rsidRDefault="003B5DAC" w:rsidP="00870E7F">
      <w:pPr>
        <w:spacing w:line="276" w:lineRule="auto"/>
        <w:rPr>
          <w:rFonts w:ascii="BentonSans Black" w:hAnsi="BentonSans Black"/>
        </w:rPr>
      </w:pPr>
      <w:r>
        <w:rPr>
          <w:rFonts w:ascii="BentonSans Black" w:hAnsi="BentonSans Black"/>
          <w:b/>
        </w:rPr>
        <w:t>2.4</w:t>
      </w:r>
      <w:r w:rsidR="00ED0A01" w:rsidRPr="00B709F4">
        <w:rPr>
          <w:rFonts w:ascii="BentonSans Black" w:hAnsi="BentonSans Black"/>
          <w:b/>
        </w:rPr>
        <w:t xml:space="preserve"> </w:t>
      </w:r>
      <w:r w:rsidR="009205CC" w:rsidRPr="00B709F4">
        <w:rPr>
          <w:rFonts w:ascii="BentonSans Black" w:hAnsi="BentonSans Black"/>
          <w:b/>
        </w:rPr>
        <w:t xml:space="preserve">Credit </w:t>
      </w:r>
      <w:r w:rsidR="00ED0A01" w:rsidRPr="00B709F4">
        <w:rPr>
          <w:rFonts w:ascii="BentonSans Black" w:hAnsi="BentonSans Black"/>
          <w:b/>
        </w:rPr>
        <w:t xml:space="preserve">Standards, </w:t>
      </w:r>
      <w:r w:rsidR="009205CC" w:rsidRPr="00B709F4">
        <w:rPr>
          <w:rFonts w:ascii="BentonSans Black" w:hAnsi="BentonSans Black"/>
          <w:b/>
        </w:rPr>
        <w:t>Terms</w:t>
      </w:r>
      <w:r w:rsidR="00E75BAA" w:rsidRPr="00B709F4">
        <w:rPr>
          <w:rFonts w:ascii="BentonSans Black" w:hAnsi="BentonSans Black"/>
          <w:b/>
        </w:rPr>
        <w:t xml:space="preserve"> and Conditions</w:t>
      </w:r>
    </w:p>
    <w:p w14:paraId="79F432F5" w14:textId="1C30912E" w:rsidR="003B5DAC" w:rsidRPr="00C306A2" w:rsidRDefault="00EE3523" w:rsidP="00220BCC">
      <w:pPr>
        <w:spacing w:line="360" w:lineRule="auto"/>
        <w:jc w:val="both"/>
        <w:rPr>
          <w:rFonts w:ascii="BentonSans Book" w:hAnsi="BentonSans Book"/>
        </w:rPr>
      </w:pPr>
      <w:r w:rsidRPr="00D169DD">
        <w:rPr>
          <w:rFonts w:ascii="BentonSans Book" w:hAnsi="BentonSans Book"/>
        </w:rPr>
        <w:t>Credit standards consist of internal banking guidelines, which will determine what type of loa</w:t>
      </w:r>
      <w:r>
        <w:rPr>
          <w:rFonts w:ascii="BentonSans Book" w:hAnsi="BentonSans Book"/>
        </w:rPr>
        <w:t xml:space="preserve">ns </w:t>
      </w:r>
      <w:r w:rsidRPr="00D169DD">
        <w:rPr>
          <w:rFonts w:ascii="BentonSans Book" w:hAnsi="BentonSans Book"/>
        </w:rPr>
        <w:t xml:space="preserve">and amount to be </w:t>
      </w:r>
      <w:r w:rsidR="00E21EA3" w:rsidRPr="00D169DD">
        <w:rPr>
          <w:rFonts w:ascii="BentonSans Book" w:hAnsi="BentonSans Book"/>
        </w:rPr>
        <w:t>pro</w:t>
      </w:r>
      <w:r w:rsidR="00E21EA3">
        <w:rPr>
          <w:rFonts w:ascii="BentonSans Book" w:hAnsi="BentonSans Book"/>
        </w:rPr>
        <w:t>vided to</w:t>
      </w:r>
      <w:r>
        <w:rPr>
          <w:rFonts w:ascii="BentonSans Book" w:hAnsi="BentonSans Book"/>
        </w:rPr>
        <w:t xml:space="preserve"> which clients. They mainly embody capacity of the borrower, collateral requirements, borrowers’ own contribution to the project and credit history of the borrower. The credit</w:t>
      </w:r>
      <w:r w:rsidRPr="00D169DD">
        <w:rPr>
          <w:rFonts w:ascii="BentonSans Book" w:hAnsi="BentonSans Book"/>
        </w:rPr>
        <w:t xml:space="preserve"> survey measures changes in such standards including cases where a bank has introduced a new lending policy or amended existing one. </w:t>
      </w:r>
      <w:r w:rsidR="00E21EA3">
        <w:rPr>
          <w:rFonts w:ascii="BentonSans Book" w:hAnsi="BentonSans Book"/>
        </w:rPr>
        <w:t xml:space="preserve">Results from the current survey revealed that </w:t>
      </w:r>
      <w:r>
        <w:rPr>
          <w:rFonts w:ascii="BentonSans Book" w:hAnsi="BentonSans Book"/>
        </w:rPr>
        <w:t>c</w:t>
      </w:r>
      <w:r w:rsidRPr="00F719A5">
        <w:rPr>
          <w:rFonts w:ascii="BentonSans Book" w:hAnsi="BentonSans Book"/>
        </w:rPr>
        <w:t>redit standards</w:t>
      </w:r>
      <w:r w:rsidR="00E21EA3">
        <w:rPr>
          <w:rFonts w:ascii="BentonSans Book" w:hAnsi="BentonSans Book"/>
        </w:rPr>
        <w:t xml:space="preserve"> generally </w:t>
      </w:r>
      <w:r w:rsidR="00E21EA3" w:rsidRPr="003E2B6A">
        <w:rPr>
          <w:rFonts w:ascii="BentonSans Book" w:hAnsi="BentonSans Book"/>
        </w:rPr>
        <w:t>remained</w:t>
      </w:r>
      <w:r>
        <w:rPr>
          <w:rFonts w:ascii="BentonSans Book" w:hAnsi="BentonSans Book"/>
        </w:rPr>
        <w:t xml:space="preserve"> unchanged in Q2 2019</w:t>
      </w:r>
      <w:r w:rsidRPr="003E2B6A">
        <w:rPr>
          <w:rFonts w:ascii="BentonSans Book" w:hAnsi="BentonSans Book"/>
        </w:rPr>
        <w:t xml:space="preserve">. </w:t>
      </w:r>
      <w:r>
        <w:rPr>
          <w:rFonts w:ascii="BentonSans Book" w:hAnsi="BentonSans Book"/>
        </w:rPr>
        <w:t>Most b</w:t>
      </w:r>
      <w:r w:rsidRPr="00D169DD">
        <w:rPr>
          <w:rFonts w:ascii="BentonSans Book" w:hAnsi="BentonSans Book"/>
        </w:rPr>
        <w:t xml:space="preserve">anks </w:t>
      </w:r>
      <w:r w:rsidR="00220BCC">
        <w:rPr>
          <w:rFonts w:ascii="BentonSans Book" w:hAnsi="BentonSans Book"/>
        </w:rPr>
        <w:t xml:space="preserve">(11 </w:t>
      </w:r>
      <w:r>
        <w:rPr>
          <w:rFonts w:ascii="BentonSans Book" w:hAnsi="BentonSans Book"/>
        </w:rPr>
        <w:t xml:space="preserve">banks out of 16 banks) </w:t>
      </w:r>
      <w:r w:rsidRPr="00D169DD">
        <w:rPr>
          <w:rFonts w:ascii="BentonSans Book" w:hAnsi="BentonSans Book"/>
        </w:rPr>
        <w:t xml:space="preserve">reported </w:t>
      </w:r>
      <w:r>
        <w:rPr>
          <w:rFonts w:ascii="BentonSans Book" w:hAnsi="BentonSans Book"/>
        </w:rPr>
        <w:t xml:space="preserve">that their credit standards remained unchanged during the second quarter of 2019. </w:t>
      </w:r>
      <w:r w:rsidR="00220BCC">
        <w:rPr>
          <w:rFonts w:ascii="BentonSans Book" w:hAnsi="BentonSans Book"/>
        </w:rPr>
        <w:t>The t</w:t>
      </w:r>
      <w:r w:rsidR="00220BCC" w:rsidRPr="00C306A2">
        <w:rPr>
          <w:rFonts w:ascii="BentonSans Book" w:hAnsi="BentonSans Book"/>
        </w:rPr>
        <w:t>igh</w:t>
      </w:r>
      <w:r w:rsidR="00220BCC">
        <w:rPr>
          <w:rFonts w:ascii="BentonSans Book" w:hAnsi="BentonSans Book"/>
        </w:rPr>
        <w:t xml:space="preserve">tness of </w:t>
      </w:r>
      <w:r w:rsidR="00C306A2" w:rsidRPr="00C306A2">
        <w:rPr>
          <w:rFonts w:ascii="BentonSans Book" w:hAnsi="BentonSans Book"/>
        </w:rPr>
        <w:t xml:space="preserve">credit </w:t>
      </w:r>
      <w:r w:rsidR="00220BCC" w:rsidRPr="00C306A2">
        <w:rPr>
          <w:rFonts w:ascii="BentonSans Book" w:hAnsi="BentonSans Book"/>
        </w:rPr>
        <w:t>standards</w:t>
      </w:r>
      <w:r w:rsidR="00220BCC">
        <w:rPr>
          <w:rFonts w:ascii="BentonSans Book" w:hAnsi="BentonSans Book"/>
        </w:rPr>
        <w:t xml:space="preserve"> in some few banks was mainly linked to </w:t>
      </w:r>
      <w:r w:rsidRPr="00C306A2">
        <w:rPr>
          <w:rFonts w:ascii="BentonSans Book" w:hAnsi="BentonSans Book"/>
        </w:rPr>
        <w:t xml:space="preserve">bank specific factors, including </w:t>
      </w:r>
      <w:r w:rsidR="00C306A2" w:rsidRPr="00C306A2">
        <w:rPr>
          <w:rFonts w:ascii="BentonSans Book" w:hAnsi="BentonSans Book"/>
        </w:rPr>
        <w:t xml:space="preserve">the desired securitization level and </w:t>
      </w:r>
      <w:r w:rsidRPr="00C306A2">
        <w:rPr>
          <w:rFonts w:ascii="BentonSans Book" w:hAnsi="BentonSans Book"/>
        </w:rPr>
        <w:t xml:space="preserve">bank perception of risk </w:t>
      </w:r>
      <w:r w:rsidR="00C306A2" w:rsidRPr="00C306A2">
        <w:rPr>
          <w:rFonts w:ascii="BentonSans Book" w:hAnsi="BentonSans Book"/>
        </w:rPr>
        <w:t>such as the borrower’s creditworthiness risks related to collateral demanded and banks’ risk tolerance</w:t>
      </w:r>
      <w:r w:rsidR="00F52818">
        <w:rPr>
          <w:rFonts w:ascii="BentonSans Book" w:hAnsi="BentonSans Book"/>
        </w:rPr>
        <w:t xml:space="preserve">. </w:t>
      </w:r>
      <w:r w:rsidR="00C306A2" w:rsidRPr="00C306A2">
        <w:rPr>
          <w:rFonts w:ascii="BentonSans Book" w:hAnsi="BentonSans Book"/>
        </w:rPr>
        <w:t xml:space="preserve"> </w:t>
      </w:r>
    </w:p>
    <w:p w14:paraId="318BD627" w14:textId="6E0DF4C3" w:rsidR="000F0A59" w:rsidRDefault="006D7C08" w:rsidP="00E71550">
      <w:pPr>
        <w:spacing w:line="360" w:lineRule="auto"/>
        <w:jc w:val="both"/>
        <w:rPr>
          <w:rFonts w:ascii="BentonSans Book" w:hAnsi="BentonSans Book"/>
        </w:rPr>
      </w:pPr>
      <w:r>
        <w:rPr>
          <w:rFonts w:ascii="BentonSans Book" w:hAnsi="BentonSans Book"/>
        </w:rPr>
        <w:t>Similar to</w:t>
      </w:r>
      <w:r w:rsidR="005F16F3" w:rsidRPr="00DA0FBA">
        <w:rPr>
          <w:rFonts w:ascii="BentonSans Book" w:hAnsi="BentonSans Book"/>
        </w:rPr>
        <w:t xml:space="preserve"> credit standards, the </w:t>
      </w:r>
      <w:r w:rsidR="000A0D1F" w:rsidRPr="00DA0FBA">
        <w:rPr>
          <w:rFonts w:ascii="BentonSans Book" w:hAnsi="BentonSans Book"/>
        </w:rPr>
        <w:t>c</w:t>
      </w:r>
      <w:r w:rsidR="00E2079F" w:rsidRPr="00024076">
        <w:rPr>
          <w:rFonts w:ascii="BentonSans Book" w:hAnsi="BentonSans Book"/>
        </w:rPr>
        <w:t>redit terms and conditions</w:t>
      </w:r>
      <w:r w:rsidR="00B76730" w:rsidRPr="00220BCC">
        <w:rPr>
          <w:vertAlign w:val="superscript"/>
        </w:rPr>
        <w:footnoteReference w:id="3"/>
      </w:r>
      <w:r w:rsidR="00E2079F">
        <w:rPr>
          <w:rFonts w:ascii="BentonSans Book" w:hAnsi="BentonSans Book"/>
        </w:rPr>
        <w:t xml:space="preserve"> </w:t>
      </w:r>
      <w:r w:rsidR="005F16F3">
        <w:rPr>
          <w:rFonts w:ascii="BentonSans Book" w:hAnsi="BentonSans Book"/>
        </w:rPr>
        <w:t xml:space="preserve">also remained broadly unchanged. </w:t>
      </w:r>
      <w:r w:rsidR="00E2079F" w:rsidRPr="00024076">
        <w:rPr>
          <w:rFonts w:ascii="BentonSans Book" w:hAnsi="BentonSans Book"/>
        </w:rPr>
        <w:t xml:space="preserve"> </w:t>
      </w:r>
      <w:r w:rsidR="00E2079F">
        <w:rPr>
          <w:rFonts w:ascii="BentonSans Book" w:hAnsi="BentonSans Book"/>
        </w:rPr>
        <w:t>Out of 16 banks opera</w:t>
      </w:r>
      <w:r w:rsidR="005F16F3">
        <w:rPr>
          <w:rFonts w:ascii="BentonSans Book" w:hAnsi="BentonSans Book"/>
        </w:rPr>
        <w:t>t</w:t>
      </w:r>
      <w:r w:rsidR="00220BCC">
        <w:rPr>
          <w:rFonts w:ascii="BentonSans Book" w:hAnsi="BentonSans Book"/>
        </w:rPr>
        <w:t>ing on Rwandan credit market, 9</w:t>
      </w:r>
      <w:r w:rsidR="00E2079F" w:rsidRPr="009D1113">
        <w:rPr>
          <w:rFonts w:ascii="BentonSans Book" w:hAnsi="BentonSans Book"/>
        </w:rPr>
        <w:t xml:space="preserve"> banks indicated that </w:t>
      </w:r>
      <w:r w:rsidR="00E2079F">
        <w:rPr>
          <w:rFonts w:ascii="BentonSans Book" w:hAnsi="BentonSans Book"/>
        </w:rPr>
        <w:t xml:space="preserve">their overall </w:t>
      </w:r>
      <w:r w:rsidR="00E2079F" w:rsidRPr="009D1113">
        <w:rPr>
          <w:rFonts w:ascii="BentonSans Book" w:hAnsi="BentonSans Book"/>
        </w:rPr>
        <w:t>terms and conditions remain</w:t>
      </w:r>
      <w:r w:rsidR="00220BCC">
        <w:rPr>
          <w:rFonts w:ascii="BentonSans Book" w:hAnsi="BentonSans Book"/>
        </w:rPr>
        <w:t>ed unchanged, while 4</w:t>
      </w:r>
      <w:r w:rsidR="00E2079F">
        <w:rPr>
          <w:rFonts w:ascii="BentonSans Book" w:hAnsi="BentonSans Book"/>
        </w:rPr>
        <w:t xml:space="preserve"> banks </w:t>
      </w:r>
      <w:r w:rsidR="00E2079F" w:rsidRPr="009D1113">
        <w:rPr>
          <w:rFonts w:ascii="BentonSans Book" w:hAnsi="BentonSans Book"/>
        </w:rPr>
        <w:t>indicated that credit terms a</w:t>
      </w:r>
      <w:r w:rsidR="005F16F3">
        <w:rPr>
          <w:rFonts w:ascii="BentonSans Book" w:hAnsi="BentonSans Book"/>
        </w:rPr>
        <w:t xml:space="preserve">nd conditions </w:t>
      </w:r>
      <w:r w:rsidR="00220BCC">
        <w:rPr>
          <w:rFonts w:ascii="BentonSans Book" w:hAnsi="BentonSans Book"/>
        </w:rPr>
        <w:t xml:space="preserve">eased </w:t>
      </w:r>
      <w:r w:rsidR="00AD1D91">
        <w:rPr>
          <w:rFonts w:ascii="BentonSans Book" w:hAnsi="BentonSans Book"/>
        </w:rPr>
        <w:t xml:space="preserve"> and 3</w:t>
      </w:r>
      <w:r w:rsidR="00E2079F">
        <w:rPr>
          <w:rFonts w:ascii="BentonSans Book" w:hAnsi="BentonSans Book"/>
        </w:rPr>
        <w:t xml:space="preserve"> banks </w:t>
      </w:r>
      <w:r w:rsidR="00E2079F" w:rsidRPr="009D1113">
        <w:rPr>
          <w:rFonts w:ascii="BentonSans Book" w:hAnsi="BentonSans Book"/>
        </w:rPr>
        <w:t>indicat</w:t>
      </w:r>
      <w:r w:rsidR="00E2079F">
        <w:rPr>
          <w:rFonts w:ascii="BentonSans Book" w:hAnsi="BentonSans Book"/>
        </w:rPr>
        <w:t>ed</w:t>
      </w:r>
      <w:r w:rsidR="00E2079F" w:rsidRPr="009D1113">
        <w:rPr>
          <w:rFonts w:ascii="BentonSans Book" w:hAnsi="BentonSans Book"/>
        </w:rPr>
        <w:t xml:space="preserve"> that the credit terms and conditions </w:t>
      </w:r>
      <w:r w:rsidR="00220BCC">
        <w:rPr>
          <w:rFonts w:ascii="BentonSans Book" w:hAnsi="BentonSans Book"/>
        </w:rPr>
        <w:t>tightened somewhat</w:t>
      </w:r>
      <w:r w:rsidR="00E2079F" w:rsidRPr="009D1113">
        <w:rPr>
          <w:rFonts w:ascii="BentonSans Book" w:hAnsi="BentonSans Book"/>
        </w:rPr>
        <w:t xml:space="preserve">. </w:t>
      </w:r>
      <w:r w:rsidR="00AD0CD5">
        <w:rPr>
          <w:rFonts w:ascii="BentonSans Book" w:hAnsi="BentonSans Book"/>
        </w:rPr>
        <w:t xml:space="preserve"> From banks’ perspective</w:t>
      </w:r>
      <w:r w:rsidR="00E2079F">
        <w:rPr>
          <w:rFonts w:ascii="BentonSans Book" w:hAnsi="BentonSans Book"/>
        </w:rPr>
        <w:t xml:space="preserve">, </w:t>
      </w:r>
      <w:r w:rsidR="00E2079F" w:rsidRPr="00395CA7">
        <w:rPr>
          <w:rFonts w:ascii="BentonSans Book" w:hAnsi="BentonSans Book"/>
        </w:rPr>
        <w:t>operating costs</w:t>
      </w:r>
      <w:r w:rsidR="00E2079F">
        <w:rPr>
          <w:rFonts w:ascii="BentonSans Book" w:hAnsi="BentonSans Book"/>
        </w:rPr>
        <w:t xml:space="preserve"> and the perception of risk </w:t>
      </w:r>
      <w:r w:rsidR="00E2079F" w:rsidRPr="00395CA7">
        <w:rPr>
          <w:rFonts w:ascii="BentonSans Book" w:hAnsi="BentonSans Book"/>
        </w:rPr>
        <w:t>were the main reasons for tighten</w:t>
      </w:r>
      <w:r w:rsidR="00AD0CD5">
        <w:rPr>
          <w:rFonts w:ascii="BentonSans Book" w:hAnsi="BentonSans Book"/>
        </w:rPr>
        <w:t xml:space="preserve">ing credit terms and conditions while the </w:t>
      </w:r>
      <w:r w:rsidR="00AD0CD5" w:rsidRPr="00395CA7">
        <w:rPr>
          <w:rFonts w:ascii="BentonSans Book" w:hAnsi="BentonSans Book"/>
        </w:rPr>
        <w:t>comp</w:t>
      </w:r>
      <w:r w:rsidR="00AD0CD5">
        <w:rPr>
          <w:rFonts w:ascii="BentonSans Book" w:hAnsi="BentonSans Book"/>
        </w:rPr>
        <w:t xml:space="preserve">etition, </w:t>
      </w:r>
      <w:r w:rsidR="00F52818">
        <w:rPr>
          <w:rFonts w:ascii="BentonSans Book" w:hAnsi="BentonSans Book"/>
        </w:rPr>
        <w:t xml:space="preserve">reduced </w:t>
      </w:r>
      <w:r w:rsidR="00AD0CD5">
        <w:rPr>
          <w:rFonts w:ascii="BentonSans Book" w:hAnsi="BentonSans Book"/>
        </w:rPr>
        <w:t xml:space="preserve">cost of funds </w:t>
      </w:r>
      <w:r w:rsidR="00AD0CD5" w:rsidRPr="00395CA7">
        <w:rPr>
          <w:rFonts w:ascii="BentonSans Book" w:hAnsi="BentonSans Book"/>
        </w:rPr>
        <w:t>and liquidity position were the main factors that contributed to easing of cr</w:t>
      </w:r>
      <w:r w:rsidR="00AD0CD5">
        <w:rPr>
          <w:rFonts w:ascii="BentonSans Book" w:hAnsi="BentonSans Book"/>
        </w:rPr>
        <w:t xml:space="preserve">edit terms and conditions. </w:t>
      </w:r>
      <w:r w:rsidR="003201C1">
        <w:rPr>
          <w:rFonts w:ascii="BentonSans Book" w:hAnsi="BentonSans Book"/>
        </w:rPr>
        <w:t>In context of this survey, the e</w:t>
      </w:r>
      <w:r w:rsidR="00AD0CD5">
        <w:rPr>
          <w:rFonts w:ascii="BentonSans Book" w:hAnsi="BentonSans Book"/>
        </w:rPr>
        <w:t>asing of credit terms and conditions mainly characterizes the reduction of lending interest rate</w:t>
      </w:r>
      <w:r w:rsidR="00F52818">
        <w:rPr>
          <w:rFonts w:ascii="BentonSans Book" w:hAnsi="BentonSans Book"/>
        </w:rPr>
        <w:t>, increased size of consumer loans</w:t>
      </w:r>
      <w:r w:rsidR="00AD0CD5">
        <w:rPr>
          <w:rFonts w:ascii="BentonSans Book" w:hAnsi="BentonSans Book"/>
        </w:rPr>
        <w:t xml:space="preserve"> and the extension</w:t>
      </w:r>
      <w:r w:rsidR="00E71550">
        <w:rPr>
          <w:rFonts w:ascii="BentonSans Book" w:hAnsi="BentonSans Book"/>
        </w:rPr>
        <w:t xml:space="preserve"> of maturity for mortgage loans.</w:t>
      </w:r>
    </w:p>
    <w:p w14:paraId="76D709C0" w14:textId="2D977834" w:rsidR="00E71550" w:rsidRDefault="00E71550" w:rsidP="00E71550">
      <w:pPr>
        <w:spacing w:line="360" w:lineRule="auto"/>
        <w:jc w:val="both"/>
        <w:rPr>
          <w:rFonts w:ascii="BentonSans Book" w:hAnsi="BentonSans Book"/>
        </w:rPr>
      </w:pPr>
    </w:p>
    <w:p w14:paraId="26EB28A7" w14:textId="2B7E5506" w:rsidR="00E71550" w:rsidRDefault="00E71550" w:rsidP="00E71550">
      <w:pPr>
        <w:spacing w:line="360" w:lineRule="auto"/>
        <w:jc w:val="both"/>
        <w:rPr>
          <w:rFonts w:ascii="BentonSans Book" w:hAnsi="BentonSans Book"/>
        </w:rPr>
      </w:pPr>
    </w:p>
    <w:p w14:paraId="28909A6D" w14:textId="3BD3D5E8" w:rsidR="00E71550" w:rsidRDefault="00E71550" w:rsidP="00E71550">
      <w:pPr>
        <w:spacing w:line="360" w:lineRule="auto"/>
        <w:jc w:val="both"/>
        <w:rPr>
          <w:rFonts w:ascii="BentonSans Book" w:hAnsi="BentonSans Book"/>
        </w:rPr>
      </w:pPr>
    </w:p>
    <w:p w14:paraId="48C1F860" w14:textId="5291E0DF" w:rsidR="00E71550" w:rsidRDefault="00E71550" w:rsidP="00E71550">
      <w:pPr>
        <w:spacing w:line="360" w:lineRule="auto"/>
        <w:jc w:val="both"/>
        <w:rPr>
          <w:rFonts w:ascii="BentonSans Book" w:hAnsi="BentonSans Book"/>
        </w:rPr>
      </w:pPr>
    </w:p>
    <w:p w14:paraId="416CAC1E" w14:textId="7404EBA2" w:rsidR="00E71550" w:rsidRDefault="00E71550" w:rsidP="00E71550">
      <w:pPr>
        <w:spacing w:line="360" w:lineRule="auto"/>
        <w:jc w:val="both"/>
        <w:rPr>
          <w:rFonts w:ascii="BentonSans Book" w:hAnsi="BentonSans Book"/>
        </w:rPr>
      </w:pPr>
    </w:p>
    <w:p w14:paraId="7BD09498" w14:textId="77777777" w:rsidR="00E71550" w:rsidRPr="00E71550" w:rsidRDefault="00E71550" w:rsidP="00E71550">
      <w:pPr>
        <w:spacing w:line="360" w:lineRule="auto"/>
        <w:jc w:val="both"/>
        <w:rPr>
          <w:rFonts w:ascii="BentonSans Book" w:hAnsi="BentonSans Book"/>
        </w:rPr>
      </w:pPr>
    </w:p>
    <w:p w14:paraId="6993509C" w14:textId="72E8E957" w:rsidR="0088665D" w:rsidRPr="00B709F4" w:rsidRDefault="003B5DAC" w:rsidP="0088665D">
      <w:pPr>
        <w:pStyle w:val="NormalWeb"/>
        <w:spacing w:before="120" w:after="120" w:line="360" w:lineRule="auto"/>
        <w:rPr>
          <w:rFonts w:ascii="BentonSans Black" w:hAnsi="BentonSans Black"/>
          <w:b/>
          <w:sz w:val="22"/>
          <w:szCs w:val="22"/>
        </w:rPr>
      </w:pPr>
      <w:r>
        <w:rPr>
          <w:rFonts w:ascii="BentonSans Black" w:hAnsi="BentonSans Black"/>
          <w:b/>
          <w:sz w:val="22"/>
          <w:szCs w:val="22"/>
        </w:rPr>
        <w:t>Figure 1</w:t>
      </w:r>
      <w:r w:rsidR="0088665D" w:rsidRPr="00B709F4">
        <w:rPr>
          <w:rFonts w:ascii="BentonSans Black" w:hAnsi="BentonSans Black"/>
          <w:b/>
          <w:sz w:val="22"/>
          <w:szCs w:val="22"/>
        </w:rPr>
        <w:t xml:space="preserve">: </w:t>
      </w:r>
      <w:r w:rsidR="0088665D" w:rsidRPr="00B709F4">
        <w:rPr>
          <w:rFonts w:ascii="BentonSans Black" w:hAnsi="BentonSans Black"/>
          <w:b/>
        </w:rPr>
        <w:t>Credit Standards, Terms and Conditions</w:t>
      </w:r>
    </w:p>
    <w:p w14:paraId="5388682E" w14:textId="77777777" w:rsidR="0088665D" w:rsidRPr="002A006E" w:rsidRDefault="0088665D" w:rsidP="0088665D">
      <w:pPr>
        <w:pStyle w:val="NormalWeb"/>
        <w:spacing w:before="120" w:after="120" w:line="360" w:lineRule="auto"/>
        <w:jc w:val="center"/>
        <w:rPr>
          <w:rFonts w:ascii="BentonSans Book" w:hAnsi="BentonSans Book"/>
          <w:b/>
          <w:color w:val="0070C0"/>
          <w:sz w:val="32"/>
          <w:szCs w:val="22"/>
        </w:rPr>
      </w:pPr>
      <w:r w:rsidRPr="002A006E">
        <w:rPr>
          <w:rFonts w:ascii="BentonSans Book" w:hAnsi="BentonSans Book"/>
          <w:b/>
          <w:noProof/>
          <w:color w:val="0070C0"/>
          <w:sz w:val="32"/>
          <w:szCs w:val="22"/>
        </w:rPr>
        <mc:AlternateContent>
          <mc:Choice Requires="wps">
            <w:drawing>
              <wp:anchor distT="0" distB="0" distL="114300" distR="114300" simplePos="0" relativeHeight="251704320" behindDoc="0" locked="0" layoutInCell="1" allowOverlap="1" wp14:anchorId="1CC9CAE8" wp14:editId="6FCA2F6A">
                <wp:simplePos x="0" y="0"/>
                <wp:positionH relativeFrom="margin">
                  <wp:posOffset>28575</wp:posOffset>
                </wp:positionH>
                <wp:positionV relativeFrom="paragraph">
                  <wp:posOffset>17780</wp:posOffset>
                </wp:positionV>
                <wp:extent cx="6000750" cy="30384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6000750" cy="303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A152D" w14:textId="1B39E770" w:rsidR="0088665D" w:rsidRDefault="00532CA6" w:rsidP="0088665D">
                            <w:r w:rsidRPr="00532CA6">
                              <w:rPr>
                                <w:noProof/>
                              </w:rPr>
                              <w:drawing>
                                <wp:inline distT="0" distB="0" distL="0" distR="0" wp14:anchorId="75984D11" wp14:editId="1D630082">
                                  <wp:extent cx="2952750" cy="29051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88665D">
                              <w:t xml:space="preserve">  </w:t>
                            </w:r>
                            <w:r w:rsidRPr="00532CA6">
                              <w:rPr>
                                <w:noProof/>
                              </w:rPr>
                              <w:drawing>
                                <wp:inline distT="0" distB="0" distL="0" distR="0" wp14:anchorId="17707A0C" wp14:editId="6C13B2BD">
                                  <wp:extent cx="2762250" cy="2902585"/>
                                  <wp:effectExtent l="0" t="0" r="0"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88665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CAE8" id="Text Box 20" o:spid="_x0000_s1028" type="#_x0000_t202" style="position:absolute;left:0;text-align:left;margin-left:2.25pt;margin-top:1.4pt;width:472.5pt;height:239.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" fillcolor="white [3201]" strokeweight=".5pt">
                <v:textbox>
                  <w:txbxContent>
                    <w:p w14:paraId="66FA152D" w14:textId="1B39E770" w:rsidR="0088665D" w:rsidRDefault="00532CA6" w:rsidP="0088665D">
                      <w:r w:rsidRPr="00532CA6">
                        <w:rPr>
                          <w:noProof/>
                        </w:rPr>
                        <w:drawing>
                          <wp:inline distT="0" distB="0" distL="0" distR="0" wp14:anchorId="75984D11" wp14:editId="54178531">
                            <wp:extent cx="2952750" cy="29051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88665D">
                        <w:t xml:space="preserve">  </w:t>
                      </w:r>
                      <w:r w:rsidRPr="00532CA6">
                        <w:rPr>
                          <w:noProof/>
                        </w:rPr>
                        <w:drawing>
                          <wp:inline distT="0" distB="0" distL="0" distR="0" wp14:anchorId="17707A0C" wp14:editId="4A075CD8">
                            <wp:extent cx="2762250" cy="2902585"/>
                            <wp:effectExtent l="0" t="0" r="0" b="1206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8665D">
                        <w:t xml:space="preserve">   </w:t>
                      </w:r>
                    </w:p>
                  </w:txbxContent>
                </v:textbox>
                <w10:wrap anchorx="margin"/>
              </v:shape>
            </w:pict>
          </mc:Fallback>
        </mc:AlternateContent>
      </w:r>
    </w:p>
    <w:p w14:paraId="3311A20D" w14:textId="6059BB4C" w:rsidR="0088665D" w:rsidRPr="002A006E" w:rsidRDefault="0088665D" w:rsidP="0088665D">
      <w:pPr>
        <w:pStyle w:val="NormalWeb"/>
        <w:spacing w:before="120" w:after="120" w:line="360" w:lineRule="auto"/>
        <w:jc w:val="center"/>
        <w:rPr>
          <w:rFonts w:ascii="BentonSans Book" w:hAnsi="BentonSans Book"/>
          <w:b/>
          <w:color w:val="0070C0"/>
          <w:sz w:val="32"/>
          <w:szCs w:val="22"/>
        </w:rPr>
      </w:pPr>
    </w:p>
    <w:p w14:paraId="4682916F" w14:textId="77777777" w:rsidR="0088665D" w:rsidRPr="002A006E" w:rsidRDefault="0088665D" w:rsidP="0088665D">
      <w:pPr>
        <w:pStyle w:val="NormalWeb"/>
        <w:spacing w:before="120" w:after="120" w:line="360" w:lineRule="auto"/>
        <w:jc w:val="center"/>
        <w:rPr>
          <w:rFonts w:ascii="BentonSans Book" w:hAnsi="BentonSans Book"/>
          <w:b/>
          <w:color w:val="0070C0"/>
          <w:sz w:val="32"/>
          <w:szCs w:val="22"/>
        </w:rPr>
      </w:pPr>
    </w:p>
    <w:p w14:paraId="1A121875" w14:textId="77777777" w:rsidR="0088665D" w:rsidRPr="002A006E" w:rsidRDefault="0088665D" w:rsidP="0088665D">
      <w:pPr>
        <w:pStyle w:val="NormalWeb"/>
        <w:spacing w:before="120" w:after="120" w:line="360" w:lineRule="auto"/>
        <w:jc w:val="center"/>
        <w:rPr>
          <w:rFonts w:ascii="BentonSans Book" w:hAnsi="BentonSans Book"/>
          <w:b/>
          <w:color w:val="0070C0"/>
          <w:sz w:val="32"/>
          <w:szCs w:val="22"/>
        </w:rPr>
      </w:pPr>
    </w:p>
    <w:p w14:paraId="4340FEC5" w14:textId="77777777" w:rsidR="0088665D" w:rsidRPr="002A006E" w:rsidRDefault="0088665D" w:rsidP="0088665D">
      <w:pPr>
        <w:pStyle w:val="NormalWeb"/>
        <w:spacing w:before="120" w:after="120" w:line="360" w:lineRule="auto"/>
        <w:jc w:val="center"/>
        <w:rPr>
          <w:rFonts w:ascii="BentonSans Book" w:hAnsi="BentonSans Book"/>
          <w:b/>
          <w:color w:val="0070C0"/>
          <w:sz w:val="32"/>
          <w:szCs w:val="22"/>
        </w:rPr>
      </w:pPr>
    </w:p>
    <w:p w14:paraId="2F7AA33C" w14:textId="77777777" w:rsidR="0088665D" w:rsidRDefault="0088665D" w:rsidP="0088665D">
      <w:pPr>
        <w:pStyle w:val="NormalWeb"/>
        <w:spacing w:before="120" w:after="120" w:line="360" w:lineRule="auto"/>
        <w:rPr>
          <w:rFonts w:ascii="BentonSans Book" w:hAnsi="BentonSans Book"/>
          <w:b/>
          <w:sz w:val="22"/>
          <w:szCs w:val="22"/>
        </w:rPr>
      </w:pPr>
    </w:p>
    <w:p w14:paraId="0ED4FC35" w14:textId="77777777" w:rsidR="0088665D" w:rsidRDefault="0088665D" w:rsidP="0088665D">
      <w:pPr>
        <w:pStyle w:val="NormalWeb"/>
        <w:spacing w:before="120" w:after="120" w:line="360" w:lineRule="auto"/>
        <w:rPr>
          <w:rFonts w:ascii="BentonSans Book" w:hAnsi="BentonSans Book"/>
          <w:b/>
          <w:sz w:val="22"/>
          <w:szCs w:val="22"/>
        </w:rPr>
      </w:pPr>
    </w:p>
    <w:p w14:paraId="1BDC34B4" w14:textId="77777777" w:rsidR="0088665D" w:rsidRDefault="0088665D" w:rsidP="0088665D">
      <w:pPr>
        <w:pStyle w:val="NormalWeb"/>
        <w:spacing w:before="120" w:after="120" w:line="360" w:lineRule="auto"/>
        <w:rPr>
          <w:rFonts w:ascii="BentonSans Book" w:hAnsi="BentonSans Book"/>
          <w:b/>
          <w:sz w:val="22"/>
          <w:szCs w:val="22"/>
        </w:rPr>
      </w:pPr>
    </w:p>
    <w:p w14:paraId="2977E32D" w14:textId="03E26243" w:rsidR="0088665D" w:rsidRPr="00E2079F" w:rsidRDefault="0088665D" w:rsidP="00E2079F">
      <w:pPr>
        <w:pStyle w:val="NormalWeb"/>
        <w:spacing w:before="120" w:after="120" w:line="360" w:lineRule="auto"/>
        <w:rPr>
          <w:rFonts w:ascii="BentonSans Book" w:hAnsi="BentonSans Book"/>
          <w:sz w:val="22"/>
          <w:szCs w:val="22"/>
        </w:rPr>
      </w:pPr>
      <w:r w:rsidRPr="009D1113">
        <w:rPr>
          <w:rFonts w:ascii="BentonSans Book" w:hAnsi="BentonSans Book"/>
          <w:b/>
          <w:sz w:val="22"/>
          <w:szCs w:val="22"/>
        </w:rPr>
        <w:t>Source:</w:t>
      </w:r>
      <w:r w:rsidRPr="009D1113">
        <w:rPr>
          <w:rFonts w:ascii="BentonSans Book" w:hAnsi="BentonSans Book"/>
          <w:sz w:val="22"/>
          <w:szCs w:val="22"/>
        </w:rPr>
        <w:t xml:space="preserve"> Credit Survey Findings</w:t>
      </w:r>
    </w:p>
    <w:p w14:paraId="3DA7BD67" w14:textId="66EFEB5F" w:rsidR="00E75BAA" w:rsidRPr="00B709F4" w:rsidRDefault="008F4287" w:rsidP="00870E7F">
      <w:pPr>
        <w:pStyle w:val="NormalWeb"/>
        <w:spacing w:before="120" w:after="120" w:line="276" w:lineRule="auto"/>
        <w:rPr>
          <w:rFonts w:ascii="BentonSans Black" w:hAnsi="BentonSans Black"/>
          <w:b/>
          <w:sz w:val="22"/>
          <w:szCs w:val="22"/>
        </w:rPr>
      </w:pPr>
      <w:r w:rsidRPr="00B709F4">
        <w:rPr>
          <w:rFonts w:ascii="BentonSans Black" w:hAnsi="BentonSans Black"/>
          <w:b/>
          <w:sz w:val="22"/>
          <w:szCs w:val="22"/>
        </w:rPr>
        <w:t>2.</w:t>
      </w:r>
      <w:r w:rsidR="003B5DAC">
        <w:rPr>
          <w:rFonts w:ascii="BentonSans Black" w:hAnsi="BentonSans Black"/>
          <w:b/>
          <w:sz w:val="22"/>
          <w:szCs w:val="22"/>
        </w:rPr>
        <w:t>5</w:t>
      </w:r>
      <w:r w:rsidR="00C077BF" w:rsidRPr="00B709F4">
        <w:rPr>
          <w:rFonts w:ascii="BentonSans Black" w:hAnsi="BentonSans Black"/>
          <w:b/>
          <w:sz w:val="22"/>
          <w:szCs w:val="22"/>
        </w:rPr>
        <w:t xml:space="preserve"> </w:t>
      </w:r>
      <w:r w:rsidR="00E2079F" w:rsidRPr="00B709F4">
        <w:rPr>
          <w:rFonts w:ascii="BentonSans Black" w:hAnsi="BentonSans Black"/>
          <w:b/>
          <w:sz w:val="22"/>
          <w:szCs w:val="22"/>
        </w:rPr>
        <w:t xml:space="preserve">Banks’ Expectations for </w:t>
      </w:r>
      <w:r w:rsidR="00676EBA">
        <w:rPr>
          <w:rFonts w:ascii="BentonSans Black" w:hAnsi="BentonSans Black"/>
          <w:b/>
          <w:sz w:val="22"/>
          <w:szCs w:val="22"/>
        </w:rPr>
        <w:t>Q3</w:t>
      </w:r>
      <w:r w:rsidRPr="00B709F4">
        <w:rPr>
          <w:rFonts w:ascii="BentonSans Black" w:hAnsi="BentonSans Black"/>
          <w:b/>
          <w:sz w:val="22"/>
          <w:szCs w:val="22"/>
        </w:rPr>
        <w:t xml:space="preserve"> </w:t>
      </w:r>
      <w:r w:rsidR="00C077BF" w:rsidRPr="00B709F4">
        <w:rPr>
          <w:rFonts w:ascii="BentonSans Black" w:hAnsi="BentonSans Black"/>
          <w:b/>
          <w:sz w:val="22"/>
          <w:szCs w:val="22"/>
        </w:rPr>
        <w:t>2019</w:t>
      </w:r>
    </w:p>
    <w:p w14:paraId="206F7EDE" w14:textId="600FD98C" w:rsidR="0037359D" w:rsidRPr="00BD3593" w:rsidRDefault="0037359D" w:rsidP="0037359D">
      <w:pPr>
        <w:spacing w:line="360" w:lineRule="auto"/>
        <w:rPr>
          <w:rFonts w:ascii="BentonSans Black" w:hAnsi="BentonSans Black"/>
          <w:b/>
        </w:rPr>
      </w:pPr>
    </w:p>
    <w:p w14:paraId="1E1FCD35" w14:textId="39D10FEF" w:rsidR="00B709F4" w:rsidRDefault="00F9736D" w:rsidP="00CA0E63">
      <w:pPr>
        <w:spacing w:line="360" w:lineRule="auto"/>
        <w:jc w:val="both"/>
        <w:rPr>
          <w:rFonts w:ascii="BentonSans Book" w:hAnsi="BentonSans Book"/>
        </w:rPr>
      </w:pPr>
      <w:r>
        <w:rPr>
          <w:rFonts w:ascii="BentonSans Book" w:eastAsia="Times New Roman" w:hAnsi="BentonSans Book" w:cs="Times New Roman"/>
        </w:rPr>
        <w:t>Generally, banks</w:t>
      </w:r>
      <w:r w:rsidR="00EF3865" w:rsidRPr="00EF3865">
        <w:rPr>
          <w:rFonts w:ascii="BentonSans Book" w:eastAsia="Times New Roman" w:hAnsi="BentonSans Book" w:cs="Times New Roman"/>
        </w:rPr>
        <w:t xml:space="preserve"> expected </w:t>
      </w:r>
      <w:r>
        <w:rPr>
          <w:rFonts w:ascii="BentonSans Book" w:eastAsia="Times New Roman" w:hAnsi="BentonSans Book" w:cs="Times New Roman"/>
        </w:rPr>
        <w:t>credit delivery to increase</w:t>
      </w:r>
      <w:r w:rsidR="00EF3865" w:rsidRPr="00EF3865">
        <w:rPr>
          <w:rFonts w:ascii="BentonSans Book" w:eastAsia="Times New Roman" w:hAnsi="BentonSans Book" w:cs="Times New Roman"/>
        </w:rPr>
        <w:t xml:space="preserve"> in </w:t>
      </w:r>
      <w:r w:rsidR="00E71550">
        <w:rPr>
          <w:rFonts w:ascii="BentonSans Book" w:eastAsia="Times New Roman" w:hAnsi="BentonSans Book" w:cs="Times New Roman"/>
        </w:rPr>
        <w:t>quarter to end Septem</w:t>
      </w:r>
      <w:r w:rsidR="00E26949">
        <w:rPr>
          <w:rFonts w:ascii="BentonSans Book" w:eastAsia="Times New Roman" w:hAnsi="BentonSans Book" w:cs="Times New Roman"/>
        </w:rPr>
        <w:t>ber</w:t>
      </w:r>
      <w:r w:rsidR="00EF3865" w:rsidRPr="00EF3865">
        <w:rPr>
          <w:rFonts w:ascii="BentonSans Book" w:eastAsia="Times New Roman" w:hAnsi="BentonSans Book" w:cs="Times New Roman"/>
        </w:rPr>
        <w:t xml:space="preserve"> supported by </w:t>
      </w:r>
      <w:r>
        <w:rPr>
          <w:rFonts w:ascii="BentonSans Book" w:eastAsia="Times New Roman" w:hAnsi="BentonSans Book" w:cs="Times New Roman"/>
        </w:rPr>
        <w:t xml:space="preserve">increased credit demand, </w:t>
      </w:r>
      <w:r w:rsidRPr="00EF3865">
        <w:rPr>
          <w:rFonts w:ascii="BentonSans Book" w:eastAsia="Times New Roman" w:hAnsi="BentonSans Book" w:cs="Times New Roman"/>
        </w:rPr>
        <w:t>expectations for higher economic grow</w:t>
      </w:r>
      <w:r>
        <w:rPr>
          <w:rFonts w:ascii="BentonSans Book" w:eastAsia="Times New Roman" w:hAnsi="BentonSans Book" w:cs="Times New Roman"/>
        </w:rPr>
        <w:t>th</w:t>
      </w:r>
      <w:r>
        <w:rPr>
          <w:rFonts w:ascii="BentonSans Book" w:eastAsia="Times New Roman" w:hAnsi="BentonSans Book" w:cs="Times New Roman"/>
        </w:rPr>
        <w:t xml:space="preserve">, </w:t>
      </w:r>
      <w:r w:rsidR="00EF3865" w:rsidRPr="00EF3865">
        <w:rPr>
          <w:rFonts w:ascii="BentonSans Book" w:eastAsia="Times New Roman" w:hAnsi="BentonSans Book" w:cs="Times New Roman"/>
        </w:rPr>
        <w:t xml:space="preserve">increased Government spending </w:t>
      </w:r>
      <w:r w:rsidR="00E71550">
        <w:rPr>
          <w:rFonts w:ascii="BentonSans Book" w:eastAsia="Times New Roman" w:hAnsi="BentonSans Book" w:cs="Times New Roman"/>
        </w:rPr>
        <w:t>in new financial</w:t>
      </w:r>
      <w:r>
        <w:rPr>
          <w:rFonts w:ascii="BentonSans Book" w:eastAsia="Times New Roman" w:hAnsi="BentonSans Book" w:cs="Times New Roman"/>
        </w:rPr>
        <w:t xml:space="preserve"> year,</w:t>
      </w:r>
      <w:r w:rsidR="00E71550">
        <w:rPr>
          <w:rFonts w:ascii="BentonSans Book" w:eastAsia="Times New Roman" w:hAnsi="BentonSans Book" w:cs="Times New Roman"/>
        </w:rPr>
        <w:t xml:space="preserve"> </w:t>
      </w:r>
      <w:r w:rsidR="00EF3865" w:rsidRPr="00EF3865">
        <w:rPr>
          <w:rFonts w:ascii="BentonSans Book" w:eastAsia="Times New Roman" w:hAnsi="BentonSans Book" w:cs="Times New Roman"/>
        </w:rPr>
        <w:t>the hig</w:t>
      </w:r>
      <w:r w:rsidR="00E71550">
        <w:rPr>
          <w:rFonts w:ascii="BentonSans Book" w:eastAsia="Times New Roman" w:hAnsi="BentonSans Book" w:cs="Times New Roman"/>
        </w:rPr>
        <w:t xml:space="preserve">h appetite for credit by </w:t>
      </w:r>
      <w:r w:rsidR="00EF3865" w:rsidRPr="00EF3865">
        <w:rPr>
          <w:rFonts w:ascii="BentonSans Book" w:eastAsia="Times New Roman" w:hAnsi="BentonSans Book" w:cs="Times New Roman"/>
        </w:rPr>
        <w:t>Small</w:t>
      </w:r>
      <w:r w:rsidR="00E71550">
        <w:rPr>
          <w:rFonts w:ascii="BentonSans Book" w:eastAsia="Times New Roman" w:hAnsi="BentonSans Book" w:cs="Times New Roman"/>
        </w:rPr>
        <w:t xml:space="preserve"> and Medium Sized Enterprises (</w:t>
      </w:r>
      <w:r w:rsidR="00EF3865" w:rsidRPr="00EF3865">
        <w:rPr>
          <w:rFonts w:ascii="BentonSans Book" w:eastAsia="Times New Roman" w:hAnsi="BentonSans Book" w:cs="Times New Roman"/>
        </w:rPr>
        <w:t>SMEs)</w:t>
      </w:r>
      <w:r w:rsidR="0071312E">
        <w:rPr>
          <w:rFonts w:ascii="BentonSans Book" w:eastAsia="Times New Roman" w:hAnsi="BentonSans Book" w:cs="Times New Roman"/>
        </w:rPr>
        <w:t>, stable interest rate</w:t>
      </w:r>
      <w:r>
        <w:rPr>
          <w:rFonts w:ascii="BentonSans Book" w:eastAsia="Times New Roman" w:hAnsi="BentonSans Book" w:cs="Times New Roman"/>
        </w:rPr>
        <w:t xml:space="preserve"> and provision </w:t>
      </w:r>
      <w:r w:rsidR="00E71550">
        <w:rPr>
          <w:rFonts w:ascii="BentonSans Book" w:eastAsia="Times New Roman" w:hAnsi="BentonSans Book" w:cs="Times New Roman"/>
        </w:rPr>
        <w:t>of free collateral loans to individuals</w:t>
      </w:r>
      <w:r w:rsidR="0037359D" w:rsidRPr="003E2B6A">
        <w:rPr>
          <w:rFonts w:ascii="BentonSans Book" w:hAnsi="BentonSans Book"/>
        </w:rPr>
        <w:t xml:space="preserve">. </w:t>
      </w:r>
      <w:r w:rsidR="0051313F">
        <w:rPr>
          <w:rFonts w:ascii="BentonSans Book" w:hAnsi="BentonSans Book"/>
        </w:rPr>
        <w:t xml:space="preserve">With regards to </w:t>
      </w:r>
      <w:r w:rsidR="0036145C">
        <w:rPr>
          <w:rFonts w:ascii="BentonSans Book" w:hAnsi="BentonSans Book"/>
        </w:rPr>
        <w:t xml:space="preserve">the </w:t>
      </w:r>
      <w:r w:rsidR="0051313F">
        <w:rPr>
          <w:rFonts w:ascii="BentonSans Book" w:hAnsi="BentonSans Book"/>
        </w:rPr>
        <w:t>lending interest rate, t</w:t>
      </w:r>
      <w:r w:rsidR="00652A24" w:rsidRPr="00652A24">
        <w:rPr>
          <w:rFonts w:ascii="BentonSans Book" w:hAnsi="BentonSans Book"/>
        </w:rPr>
        <w:t xml:space="preserve">he survey results indicate that majority of the banks </w:t>
      </w:r>
      <w:r>
        <w:rPr>
          <w:rFonts w:ascii="BentonSans Book" w:hAnsi="BentonSans Book"/>
        </w:rPr>
        <w:t xml:space="preserve">(13 </w:t>
      </w:r>
      <w:r w:rsidR="003A7F45">
        <w:rPr>
          <w:rFonts w:ascii="BentonSans Book" w:hAnsi="BentonSans Book"/>
        </w:rPr>
        <w:t xml:space="preserve">banks out of 16 banks) </w:t>
      </w:r>
      <w:r w:rsidR="00652A24" w:rsidRPr="00652A24">
        <w:rPr>
          <w:rFonts w:ascii="BentonSans Book" w:hAnsi="BentonSans Book"/>
        </w:rPr>
        <w:t>expec</w:t>
      </w:r>
      <w:r w:rsidR="003A7F45">
        <w:rPr>
          <w:rFonts w:ascii="BentonSans Book" w:hAnsi="BentonSans Book"/>
        </w:rPr>
        <w:t xml:space="preserve">t their lending rates to </w:t>
      </w:r>
      <w:r w:rsidR="00652A24" w:rsidRPr="00652A24">
        <w:rPr>
          <w:rFonts w:ascii="BentonSans Book" w:hAnsi="BentonSans Book"/>
        </w:rPr>
        <w:t>remain unchanged ove</w:t>
      </w:r>
      <w:r w:rsidR="004401AC">
        <w:rPr>
          <w:rFonts w:ascii="BentonSans Book" w:hAnsi="BentonSans Book"/>
        </w:rPr>
        <w:t xml:space="preserve">r the next quarter to </w:t>
      </w:r>
      <w:r>
        <w:rPr>
          <w:rFonts w:ascii="BentonSans Book" w:hAnsi="BentonSans Book"/>
        </w:rPr>
        <w:t xml:space="preserve">September </w:t>
      </w:r>
      <w:r w:rsidR="0051313F">
        <w:rPr>
          <w:rFonts w:ascii="BentonSans Book" w:hAnsi="BentonSans Book"/>
        </w:rPr>
        <w:t>2019</w:t>
      </w:r>
      <w:r w:rsidR="003A7F45">
        <w:rPr>
          <w:rFonts w:ascii="BentonSans Book" w:hAnsi="BentonSans Book"/>
        </w:rPr>
        <w:t xml:space="preserve">. </w:t>
      </w:r>
      <w:r w:rsidR="0036145C">
        <w:rPr>
          <w:rFonts w:ascii="BentonSans Book" w:hAnsi="BentonSans Book"/>
        </w:rPr>
        <w:t>Banks’ expectation on lending interest rate hinge on</w:t>
      </w:r>
      <w:r w:rsidR="004401AC">
        <w:rPr>
          <w:rFonts w:ascii="BentonSans Book" w:hAnsi="BentonSans Book"/>
        </w:rPr>
        <w:t xml:space="preserve"> </w:t>
      </w:r>
      <w:r w:rsidR="0051313F">
        <w:rPr>
          <w:rFonts w:ascii="BentonSans Book" w:hAnsi="BentonSans Book"/>
        </w:rPr>
        <w:t xml:space="preserve">the liquidity conditions </w:t>
      </w:r>
      <w:r w:rsidR="0036145C">
        <w:rPr>
          <w:rFonts w:ascii="BentonSans Book" w:hAnsi="BentonSans Book"/>
        </w:rPr>
        <w:t>in banking sector</w:t>
      </w:r>
      <w:r>
        <w:rPr>
          <w:rFonts w:ascii="BentonSans Book" w:hAnsi="BentonSans Book"/>
        </w:rPr>
        <w:t>, reduced costs of funds</w:t>
      </w:r>
      <w:r w:rsidR="0036145C">
        <w:rPr>
          <w:rFonts w:ascii="BentonSans Book" w:hAnsi="BentonSans Book"/>
        </w:rPr>
        <w:t xml:space="preserve"> </w:t>
      </w:r>
      <w:r w:rsidR="0051313F">
        <w:rPr>
          <w:rFonts w:ascii="BentonSans Book" w:hAnsi="BentonSans Book"/>
        </w:rPr>
        <w:t>and banks’</w:t>
      </w:r>
      <w:r w:rsidR="00652A24" w:rsidRPr="00652A24">
        <w:rPr>
          <w:rFonts w:ascii="BentonSans Book" w:hAnsi="BentonSans Book"/>
        </w:rPr>
        <w:t xml:space="preserve"> efforts to remain competitive in the market</w:t>
      </w:r>
      <w:r w:rsidR="00870E7F">
        <w:rPr>
          <w:rFonts w:ascii="BentonSans Book" w:hAnsi="BentonSans Book"/>
        </w:rPr>
        <w:t>.</w:t>
      </w:r>
    </w:p>
    <w:p w14:paraId="116107AD" w14:textId="5173D02C" w:rsidR="00F9736D" w:rsidRDefault="00F9736D" w:rsidP="00CA0E63">
      <w:pPr>
        <w:spacing w:line="360" w:lineRule="auto"/>
        <w:jc w:val="both"/>
        <w:rPr>
          <w:rFonts w:ascii="BentonSans Book" w:hAnsi="BentonSans Book"/>
        </w:rPr>
      </w:pPr>
    </w:p>
    <w:p w14:paraId="6306044B" w14:textId="57C9DAAD" w:rsidR="00F9736D" w:rsidRDefault="00F9736D" w:rsidP="00CA0E63">
      <w:pPr>
        <w:spacing w:line="360" w:lineRule="auto"/>
        <w:jc w:val="both"/>
        <w:rPr>
          <w:rFonts w:ascii="BentonSans Book" w:hAnsi="BentonSans Book"/>
        </w:rPr>
      </w:pPr>
    </w:p>
    <w:p w14:paraId="75D6FA68" w14:textId="537000AE" w:rsidR="00F9736D" w:rsidRDefault="00F9736D" w:rsidP="00CA0E63">
      <w:pPr>
        <w:spacing w:line="360" w:lineRule="auto"/>
        <w:jc w:val="both"/>
        <w:rPr>
          <w:rFonts w:ascii="BentonSans Book" w:hAnsi="BentonSans Book"/>
        </w:rPr>
      </w:pPr>
    </w:p>
    <w:p w14:paraId="0AD707BA" w14:textId="77777777" w:rsidR="00F9736D" w:rsidRPr="00E71550" w:rsidRDefault="00F9736D" w:rsidP="00CA0E63">
      <w:pPr>
        <w:spacing w:line="360" w:lineRule="auto"/>
        <w:jc w:val="both"/>
        <w:rPr>
          <w:rFonts w:ascii="BentonSans Book" w:eastAsia="Times New Roman" w:hAnsi="BentonSans Book" w:cs="Times New Roman"/>
        </w:rPr>
      </w:pPr>
    </w:p>
    <w:p w14:paraId="683C0D7C" w14:textId="21A85E7C" w:rsidR="00A27F01" w:rsidRPr="00B709F4" w:rsidRDefault="00A27F01" w:rsidP="00A27F01">
      <w:pPr>
        <w:pStyle w:val="NormalWeb"/>
        <w:spacing w:before="120" w:after="120" w:line="360" w:lineRule="auto"/>
        <w:rPr>
          <w:rFonts w:ascii="BentonSans Black" w:hAnsi="BentonSans Black"/>
          <w:b/>
          <w:sz w:val="22"/>
          <w:szCs w:val="22"/>
        </w:rPr>
      </w:pPr>
      <w:r w:rsidRPr="00B709F4">
        <w:rPr>
          <w:rFonts w:ascii="BentonSans Black" w:hAnsi="BentonSans Black"/>
          <w:b/>
          <w:noProof/>
          <w:sz w:val="22"/>
          <w:szCs w:val="22"/>
        </w:rPr>
        <w:lastRenderedPageBreak/>
        <mc:AlternateContent>
          <mc:Choice Requires="wps">
            <w:drawing>
              <wp:anchor distT="0" distB="0" distL="114300" distR="114300" simplePos="0" relativeHeight="251700224" behindDoc="0" locked="0" layoutInCell="1" allowOverlap="1" wp14:anchorId="365237CB" wp14:editId="1DD81666">
                <wp:simplePos x="0" y="0"/>
                <wp:positionH relativeFrom="margin">
                  <wp:align>right</wp:align>
                </wp:positionH>
                <wp:positionV relativeFrom="paragraph">
                  <wp:posOffset>223520</wp:posOffset>
                </wp:positionV>
                <wp:extent cx="5934075" cy="29527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934075" cy="2952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296FE1" w14:textId="292E9AC0" w:rsidR="00A27F01" w:rsidRDefault="00883AFA" w:rsidP="00A27F01">
                            <w:r w:rsidRPr="00883AFA">
                              <w:rPr>
                                <w:noProof/>
                              </w:rPr>
                              <w:drawing>
                                <wp:inline distT="0" distB="0" distL="0" distR="0" wp14:anchorId="124C6B6A" wp14:editId="464D6D4C">
                                  <wp:extent cx="2676525" cy="28194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27F01">
                              <w:t xml:space="preserve"> </w:t>
                            </w:r>
                            <w:r w:rsidR="00F96C8C">
                              <w:t xml:space="preserve"> </w:t>
                            </w:r>
                            <w:r w:rsidRPr="00883AFA">
                              <w:rPr>
                                <w:noProof/>
                              </w:rPr>
                              <w:drawing>
                                <wp:inline distT="0" distB="0" distL="0" distR="0" wp14:anchorId="7BF37EC7" wp14:editId="65EAFD67">
                                  <wp:extent cx="2952750" cy="2816860"/>
                                  <wp:effectExtent l="0" t="0" r="0" b="25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237CB" id="Text Box 18" o:spid="_x0000_s1029" type="#_x0000_t202" style="position:absolute;margin-left:416.05pt;margin-top:17.6pt;width:467.25pt;height:23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IklwIAALw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" fillcolor="white [3201]" strokeweight=".5pt">
                <v:textbox>
                  <w:txbxContent>
                    <w:p w14:paraId="23296FE1" w14:textId="292E9AC0" w:rsidR="00A27F01" w:rsidRDefault="00883AFA" w:rsidP="00A27F01">
                      <w:r w:rsidRPr="00883AFA">
                        <w:rPr>
                          <w:noProof/>
                        </w:rPr>
                        <w:drawing>
                          <wp:inline distT="0" distB="0" distL="0" distR="0" wp14:anchorId="124C6B6A" wp14:editId="3F6EDD4C">
                            <wp:extent cx="2676525" cy="28194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27F01">
                        <w:t xml:space="preserve"> </w:t>
                      </w:r>
                      <w:r w:rsidR="00F96C8C">
                        <w:t xml:space="preserve"> </w:t>
                      </w:r>
                      <w:r w:rsidRPr="00883AFA">
                        <w:rPr>
                          <w:noProof/>
                        </w:rPr>
                        <w:drawing>
                          <wp:inline distT="0" distB="0" distL="0" distR="0" wp14:anchorId="7BF37EC7" wp14:editId="32AC5ADB">
                            <wp:extent cx="2952750" cy="2816860"/>
                            <wp:effectExtent l="0" t="0" r="0" b="254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anchorx="margin"/>
              </v:shape>
            </w:pict>
          </mc:Fallback>
        </mc:AlternateContent>
      </w:r>
      <w:r w:rsidR="00CA0E63">
        <w:rPr>
          <w:rFonts w:ascii="BentonSans Black" w:hAnsi="BentonSans Black"/>
          <w:b/>
          <w:sz w:val="22"/>
          <w:szCs w:val="22"/>
        </w:rPr>
        <w:t>Figure 2</w:t>
      </w:r>
      <w:r w:rsidRPr="00B709F4">
        <w:rPr>
          <w:rFonts w:ascii="BentonSans Black" w:hAnsi="BentonSans Black"/>
          <w:b/>
          <w:sz w:val="22"/>
          <w:szCs w:val="22"/>
        </w:rPr>
        <w:t xml:space="preserve">: </w:t>
      </w:r>
      <w:r w:rsidR="00CA0E63">
        <w:rPr>
          <w:rFonts w:ascii="BentonSans Black" w:hAnsi="BentonSans Black"/>
          <w:b/>
          <w:sz w:val="22"/>
          <w:szCs w:val="22"/>
        </w:rPr>
        <w:t>Bank’s Expectations for Q3</w:t>
      </w:r>
      <w:r w:rsidR="00883AFA" w:rsidRPr="00B709F4">
        <w:rPr>
          <w:rFonts w:ascii="BentonSans Black" w:hAnsi="BentonSans Black"/>
          <w:b/>
          <w:sz w:val="22"/>
          <w:szCs w:val="22"/>
        </w:rPr>
        <w:t xml:space="preserve"> 2019</w:t>
      </w:r>
    </w:p>
    <w:p w14:paraId="5BD025B4" w14:textId="745CC5A9" w:rsidR="00B709F4" w:rsidRDefault="00B709F4" w:rsidP="00A27F01">
      <w:pPr>
        <w:pStyle w:val="NormalWeb"/>
        <w:spacing w:before="120" w:after="120" w:line="360" w:lineRule="auto"/>
        <w:rPr>
          <w:rFonts w:ascii="BentonSans Book" w:hAnsi="BentonSans Book"/>
          <w:b/>
          <w:sz w:val="22"/>
          <w:szCs w:val="22"/>
        </w:rPr>
      </w:pPr>
    </w:p>
    <w:p w14:paraId="2617D3BD" w14:textId="77777777" w:rsidR="00B709F4" w:rsidRDefault="00B709F4" w:rsidP="00A27F01">
      <w:pPr>
        <w:pStyle w:val="NormalWeb"/>
        <w:spacing w:before="120" w:after="120" w:line="360" w:lineRule="auto"/>
        <w:rPr>
          <w:rFonts w:ascii="BentonSans Book" w:hAnsi="BentonSans Book"/>
          <w:b/>
          <w:sz w:val="22"/>
          <w:szCs w:val="22"/>
        </w:rPr>
      </w:pPr>
    </w:p>
    <w:p w14:paraId="231F3944" w14:textId="77777777" w:rsidR="00B709F4" w:rsidRPr="009D1113" w:rsidRDefault="00B709F4" w:rsidP="00A27F01">
      <w:pPr>
        <w:pStyle w:val="NormalWeb"/>
        <w:spacing w:before="120" w:after="120" w:line="360" w:lineRule="auto"/>
        <w:rPr>
          <w:rFonts w:ascii="BentonSans Book" w:hAnsi="BentonSans Book"/>
          <w:b/>
          <w:sz w:val="22"/>
          <w:szCs w:val="22"/>
        </w:rPr>
      </w:pPr>
    </w:p>
    <w:p w14:paraId="62DE3A64"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02730133"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1101A01A"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0667BD20" w14:textId="77777777" w:rsidR="00A27F01" w:rsidRPr="002A006E" w:rsidRDefault="00A27F01" w:rsidP="00A27F01">
      <w:pPr>
        <w:pStyle w:val="NormalWeb"/>
        <w:spacing w:before="120" w:after="120" w:line="360" w:lineRule="auto"/>
        <w:jc w:val="center"/>
        <w:rPr>
          <w:rFonts w:ascii="BentonSans Book" w:hAnsi="BentonSans Book"/>
          <w:b/>
          <w:color w:val="0070C0"/>
          <w:sz w:val="32"/>
          <w:szCs w:val="22"/>
        </w:rPr>
      </w:pPr>
    </w:p>
    <w:p w14:paraId="76E8F11B" w14:textId="01EFC260" w:rsidR="00883AFA" w:rsidRDefault="00883AFA" w:rsidP="00A27F01">
      <w:pPr>
        <w:pStyle w:val="NormalWeb"/>
        <w:spacing w:before="120" w:after="120" w:line="360" w:lineRule="auto"/>
        <w:rPr>
          <w:rFonts w:ascii="BentonSans Book" w:hAnsi="BentonSans Book"/>
          <w:b/>
          <w:sz w:val="22"/>
          <w:szCs w:val="22"/>
        </w:rPr>
      </w:pPr>
    </w:p>
    <w:p w14:paraId="6FDB884B" w14:textId="68D23FE3" w:rsidR="00DB39ED" w:rsidRDefault="00A27F01" w:rsidP="00863562">
      <w:pPr>
        <w:pStyle w:val="NormalWeb"/>
        <w:spacing w:before="120" w:after="120" w:line="360" w:lineRule="auto"/>
        <w:rPr>
          <w:rFonts w:ascii="BentonSans Book" w:hAnsi="BentonSans Book"/>
          <w:sz w:val="22"/>
          <w:szCs w:val="22"/>
        </w:rPr>
      </w:pPr>
      <w:r w:rsidRPr="009D1113">
        <w:rPr>
          <w:rFonts w:ascii="BentonSans Book" w:hAnsi="BentonSans Book"/>
          <w:b/>
          <w:sz w:val="22"/>
          <w:szCs w:val="22"/>
        </w:rPr>
        <w:t>Source:</w:t>
      </w:r>
      <w:r w:rsidR="00863562">
        <w:rPr>
          <w:rFonts w:ascii="BentonSans Book" w:hAnsi="BentonSans Book"/>
          <w:sz w:val="22"/>
          <w:szCs w:val="22"/>
        </w:rPr>
        <w:t xml:space="preserve"> Credit Survey Findings.</w:t>
      </w:r>
    </w:p>
    <w:p w14:paraId="3FEEE78C" w14:textId="5507A510" w:rsidR="00DB39ED" w:rsidRDefault="00DB39ED" w:rsidP="009D1113">
      <w:pPr>
        <w:pStyle w:val="NormalWeb"/>
        <w:spacing w:before="120" w:after="120" w:line="360" w:lineRule="auto"/>
        <w:jc w:val="both"/>
        <w:rPr>
          <w:rFonts w:ascii="BentonSans Book" w:hAnsi="BentonSans Book"/>
          <w:sz w:val="22"/>
          <w:szCs w:val="22"/>
        </w:rPr>
      </w:pPr>
    </w:p>
    <w:p w14:paraId="215442B6" w14:textId="7D153859" w:rsidR="0036145C" w:rsidRDefault="0036145C" w:rsidP="009D1113">
      <w:pPr>
        <w:pStyle w:val="NormalWeb"/>
        <w:spacing w:before="120" w:after="120" w:line="360" w:lineRule="auto"/>
        <w:jc w:val="both"/>
        <w:rPr>
          <w:rFonts w:ascii="BentonSans Book" w:hAnsi="BentonSans Book"/>
          <w:sz w:val="22"/>
          <w:szCs w:val="22"/>
        </w:rPr>
      </w:pPr>
    </w:p>
    <w:p w14:paraId="321FBB20" w14:textId="7E61FFBC" w:rsidR="0036145C" w:rsidRDefault="0036145C" w:rsidP="009D1113">
      <w:pPr>
        <w:pStyle w:val="NormalWeb"/>
        <w:spacing w:before="120" w:after="120" w:line="360" w:lineRule="auto"/>
        <w:jc w:val="both"/>
        <w:rPr>
          <w:rFonts w:ascii="BentonSans Book" w:hAnsi="BentonSans Book"/>
          <w:sz w:val="22"/>
          <w:szCs w:val="22"/>
        </w:rPr>
      </w:pPr>
    </w:p>
    <w:p w14:paraId="35F22CF8" w14:textId="569C547F" w:rsidR="00DE5CDC" w:rsidRDefault="00DE5CDC" w:rsidP="009D1113">
      <w:pPr>
        <w:pStyle w:val="NormalWeb"/>
        <w:spacing w:before="120" w:after="120" w:line="360" w:lineRule="auto"/>
        <w:jc w:val="both"/>
        <w:rPr>
          <w:rFonts w:ascii="BentonSans Book" w:hAnsi="BentonSans Book"/>
          <w:sz w:val="22"/>
          <w:szCs w:val="22"/>
        </w:rPr>
      </w:pPr>
    </w:p>
    <w:p w14:paraId="30749D14" w14:textId="4CC4B7E1" w:rsidR="00BA5970" w:rsidRDefault="00BA5970" w:rsidP="009D1113">
      <w:pPr>
        <w:pStyle w:val="NormalWeb"/>
        <w:spacing w:before="120" w:after="120" w:line="360" w:lineRule="auto"/>
        <w:jc w:val="both"/>
        <w:rPr>
          <w:rFonts w:ascii="BentonSans Book" w:hAnsi="BentonSans Book"/>
          <w:sz w:val="22"/>
          <w:szCs w:val="22"/>
        </w:rPr>
      </w:pPr>
    </w:p>
    <w:p w14:paraId="31CF14F8" w14:textId="64F8625F" w:rsidR="00A93E55" w:rsidRDefault="00A93E55" w:rsidP="009D1113">
      <w:pPr>
        <w:pStyle w:val="NormalWeb"/>
        <w:spacing w:before="120" w:after="120" w:line="360" w:lineRule="auto"/>
        <w:jc w:val="both"/>
        <w:rPr>
          <w:rFonts w:ascii="BentonSans Book" w:hAnsi="BentonSans Book"/>
          <w:sz w:val="22"/>
          <w:szCs w:val="22"/>
        </w:rPr>
      </w:pPr>
    </w:p>
    <w:p w14:paraId="27E2C136" w14:textId="162F2A6A" w:rsidR="00A93E55" w:rsidRDefault="00A93E55" w:rsidP="009D1113">
      <w:pPr>
        <w:pStyle w:val="NormalWeb"/>
        <w:spacing w:before="120" w:after="120" w:line="360" w:lineRule="auto"/>
        <w:jc w:val="both"/>
        <w:rPr>
          <w:rFonts w:ascii="BentonSans Book" w:hAnsi="BentonSans Book"/>
          <w:sz w:val="22"/>
          <w:szCs w:val="22"/>
        </w:rPr>
      </w:pPr>
    </w:p>
    <w:p w14:paraId="2A7AE2A0" w14:textId="22FBBC2E" w:rsidR="00A93E55" w:rsidRDefault="00A93E55" w:rsidP="009D1113">
      <w:pPr>
        <w:pStyle w:val="NormalWeb"/>
        <w:spacing w:before="120" w:after="120" w:line="360" w:lineRule="auto"/>
        <w:jc w:val="both"/>
        <w:rPr>
          <w:rFonts w:ascii="BentonSans Book" w:hAnsi="BentonSans Book"/>
          <w:sz w:val="22"/>
          <w:szCs w:val="22"/>
        </w:rPr>
      </w:pPr>
    </w:p>
    <w:p w14:paraId="2E6EF486" w14:textId="080A44D1" w:rsidR="00A93E55" w:rsidRDefault="00A93E55" w:rsidP="009D1113">
      <w:pPr>
        <w:pStyle w:val="NormalWeb"/>
        <w:spacing w:before="120" w:after="120" w:line="360" w:lineRule="auto"/>
        <w:jc w:val="both"/>
        <w:rPr>
          <w:rFonts w:ascii="BentonSans Book" w:hAnsi="BentonSans Book"/>
          <w:sz w:val="22"/>
          <w:szCs w:val="22"/>
        </w:rPr>
      </w:pPr>
    </w:p>
    <w:p w14:paraId="0CFEB2D0" w14:textId="64153046" w:rsidR="00A93E55" w:rsidRDefault="00A93E55" w:rsidP="009D1113">
      <w:pPr>
        <w:pStyle w:val="NormalWeb"/>
        <w:spacing w:before="120" w:after="120" w:line="360" w:lineRule="auto"/>
        <w:jc w:val="both"/>
        <w:rPr>
          <w:rFonts w:ascii="BentonSans Book" w:hAnsi="BentonSans Book"/>
          <w:sz w:val="22"/>
          <w:szCs w:val="22"/>
        </w:rPr>
      </w:pPr>
    </w:p>
    <w:p w14:paraId="1BE9C71F" w14:textId="416CA52F" w:rsidR="00A93E55" w:rsidRDefault="00A93E55" w:rsidP="009D1113">
      <w:pPr>
        <w:pStyle w:val="NormalWeb"/>
        <w:spacing w:before="120" w:after="120" w:line="360" w:lineRule="auto"/>
        <w:jc w:val="both"/>
        <w:rPr>
          <w:rFonts w:ascii="BentonSans Book" w:hAnsi="BentonSans Book"/>
          <w:sz w:val="22"/>
          <w:szCs w:val="22"/>
        </w:rPr>
      </w:pPr>
    </w:p>
    <w:p w14:paraId="0009D997" w14:textId="6BAC7649" w:rsidR="00A93E55" w:rsidRDefault="00A93E55" w:rsidP="009D1113">
      <w:pPr>
        <w:pStyle w:val="NormalWeb"/>
        <w:spacing w:before="120" w:after="120" w:line="360" w:lineRule="auto"/>
        <w:jc w:val="both"/>
        <w:rPr>
          <w:rFonts w:ascii="BentonSans Book" w:hAnsi="BentonSans Book"/>
          <w:sz w:val="22"/>
          <w:szCs w:val="22"/>
        </w:rPr>
      </w:pPr>
    </w:p>
    <w:p w14:paraId="5242BE3D" w14:textId="35A37E4C" w:rsidR="00A93E55" w:rsidRDefault="00A93E55" w:rsidP="009D1113">
      <w:pPr>
        <w:pStyle w:val="NormalWeb"/>
        <w:spacing w:before="120" w:after="120" w:line="360" w:lineRule="auto"/>
        <w:jc w:val="both"/>
        <w:rPr>
          <w:rFonts w:ascii="BentonSans Book" w:hAnsi="BentonSans Book"/>
          <w:sz w:val="22"/>
          <w:szCs w:val="22"/>
        </w:rPr>
      </w:pPr>
    </w:p>
    <w:p w14:paraId="5C30F7E8" w14:textId="42BDD940" w:rsidR="00A93E55" w:rsidRDefault="00A93E55" w:rsidP="009D1113">
      <w:pPr>
        <w:pStyle w:val="NormalWeb"/>
        <w:spacing w:before="120" w:after="120" w:line="360" w:lineRule="auto"/>
        <w:jc w:val="both"/>
        <w:rPr>
          <w:rFonts w:ascii="BentonSans Book" w:hAnsi="BentonSans Book"/>
          <w:sz w:val="22"/>
          <w:szCs w:val="22"/>
        </w:rPr>
      </w:pPr>
    </w:p>
    <w:p w14:paraId="08444F89" w14:textId="77777777" w:rsidR="00A93E55" w:rsidRPr="009D1113" w:rsidRDefault="00A93E55" w:rsidP="009D1113">
      <w:pPr>
        <w:pStyle w:val="NormalWeb"/>
        <w:spacing w:before="120" w:after="120" w:line="360" w:lineRule="auto"/>
        <w:jc w:val="both"/>
        <w:rPr>
          <w:rFonts w:ascii="BentonSans Book" w:hAnsi="BentonSans Book"/>
          <w:sz w:val="22"/>
          <w:szCs w:val="22"/>
        </w:rPr>
      </w:pPr>
      <w:bookmarkStart w:id="0" w:name="_GoBack"/>
      <w:bookmarkEnd w:id="0"/>
    </w:p>
    <w:p w14:paraId="04BAC5A3" w14:textId="471D878B" w:rsidR="008713BC" w:rsidRPr="00B709F4" w:rsidRDefault="008F4287" w:rsidP="008713BC">
      <w:pPr>
        <w:pStyle w:val="NormalWeb"/>
        <w:spacing w:before="120" w:after="120" w:line="360" w:lineRule="auto"/>
        <w:rPr>
          <w:rFonts w:ascii="BentonSans Black" w:hAnsi="BentonSans Black"/>
          <w:b/>
          <w:sz w:val="22"/>
          <w:szCs w:val="22"/>
        </w:rPr>
      </w:pPr>
      <w:r w:rsidRPr="00B709F4">
        <w:rPr>
          <w:rFonts w:ascii="BentonSans Black" w:hAnsi="BentonSans Black"/>
          <w:b/>
          <w:sz w:val="22"/>
          <w:szCs w:val="22"/>
        </w:rPr>
        <w:t xml:space="preserve">Annex 1: </w:t>
      </w:r>
      <w:r w:rsidR="00E75BAA" w:rsidRPr="00B709F4">
        <w:rPr>
          <w:rFonts w:ascii="BentonSans Black" w:hAnsi="BentonSans Black"/>
          <w:b/>
          <w:sz w:val="22"/>
          <w:szCs w:val="22"/>
        </w:rPr>
        <w:t xml:space="preserve">List of </w:t>
      </w:r>
      <w:r w:rsidR="00DE5CDC">
        <w:rPr>
          <w:rFonts w:ascii="BentonSans Black" w:hAnsi="BentonSans Black"/>
          <w:b/>
          <w:sz w:val="22"/>
          <w:szCs w:val="22"/>
        </w:rPr>
        <w:t>Participating Banks</w:t>
      </w:r>
      <w:r w:rsidR="008713BC" w:rsidRPr="00B709F4">
        <w:rPr>
          <w:rFonts w:ascii="BentonSans Black" w:hAnsi="BentonSans Black"/>
          <w:b/>
          <w:sz w:val="22"/>
          <w:szCs w:val="22"/>
        </w:rPr>
        <w:t xml:space="preserve">                                                                                      </w:t>
      </w:r>
    </w:p>
    <w:p w14:paraId="0C3CA8A1"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 AB BANK RWANDA Ltd                         </w:t>
      </w:r>
    </w:p>
    <w:p w14:paraId="0E1DD4A0" w14:textId="77777777" w:rsidR="008713BC" w:rsidRPr="00BA5970" w:rsidRDefault="008713BC" w:rsidP="00B709F4">
      <w:pPr>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2. ACCESS BANK RWANDA Plc                 </w:t>
      </w:r>
    </w:p>
    <w:p w14:paraId="2972B114" w14:textId="657F45A8" w:rsidR="008713BC" w:rsidRPr="00BA5970" w:rsidRDefault="008713BC" w:rsidP="00B709F4">
      <w:pPr>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3. BANK OF AFRICA RWANDA Plc            </w:t>
      </w:r>
    </w:p>
    <w:p w14:paraId="30001386" w14:textId="353F0D62" w:rsidR="008713BC" w:rsidRPr="00BA5970" w:rsidRDefault="00B82D72" w:rsidP="00B709F4">
      <w:pPr>
        <w:spacing w:line="276" w:lineRule="auto"/>
        <w:rPr>
          <w:rFonts w:ascii="BentonSans Book" w:eastAsia="Times New Roman" w:hAnsi="BentonSans Book" w:cs="Times New Roman"/>
        </w:rPr>
      </w:pPr>
      <w:r>
        <w:rPr>
          <w:rFonts w:ascii="BentonSans Book" w:eastAsia="Times New Roman" w:hAnsi="BentonSans Book" w:cs="Times New Roman"/>
        </w:rPr>
        <w:t>4. BANK OF KIGALI Plc</w:t>
      </w:r>
    </w:p>
    <w:p w14:paraId="0DF9CB8E" w14:textId="5EA02DBF"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5. BANQUE POPULAIRE DU RWANDA Ltd</w:t>
      </w:r>
    </w:p>
    <w:p w14:paraId="4302D230"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6. COGEBANQUE Plc                              </w:t>
      </w:r>
    </w:p>
    <w:p w14:paraId="5E465FD7"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7. COMMERCIAL BANK OF AFRICA RWANDA Plc</w:t>
      </w:r>
    </w:p>
    <w:p w14:paraId="4CD7A43B"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8. DEVELOPMENT BANK OF RWANDA Plc</w:t>
      </w:r>
    </w:p>
    <w:p w14:paraId="07C43F35"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9. ECOBANK RWANDA Ltd                       </w:t>
      </w:r>
    </w:p>
    <w:p w14:paraId="0EB98A95"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10. EQUITY BANK RWANDA Plc</w:t>
      </w:r>
    </w:p>
    <w:p w14:paraId="7F061DB0"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11. GT BANK RWANDA Plc</w:t>
      </w:r>
    </w:p>
    <w:p w14:paraId="28ADE58C" w14:textId="77777777" w:rsidR="008713BC" w:rsidRPr="00BA5970" w:rsidRDefault="008713BC" w:rsidP="00B709F4">
      <w:pPr>
        <w:tabs>
          <w:tab w:val="left" w:pos="6075"/>
        </w:tabs>
        <w:spacing w:line="276" w:lineRule="auto"/>
        <w:rPr>
          <w:rFonts w:ascii="BentonSans Book" w:eastAsia="Times New Roman" w:hAnsi="BentonSans Book" w:cs="Times New Roman"/>
        </w:rPr>
      </w:pPr>
      <w:proofErr w:type="gramStart"/>
      <w:r w:rsidRPr="00BA5970">
        <w:rPr>
          <w:rFonts w:ascii="BentonSans Book" w:eastAsia="Times New Roman" w:hAnsi="BentonSans Book" w:cs="Times New Roman"/>
        </w:rPr>
        <w:t>12. I&amp;M BANK Plc</w:t>
      </w:r>
      <w:proofErr w:type="gramEnd"/>
      <w:r w:rsidRPr="00BA5970">
        <w:rPr>
          <w:rFonts w:ascii="BentonSans Book" w:eastAsia="Times New Roman" w:hAnsi="BentonSans Book" w:cs="Times New Roman"/>
        </w:rPr>
        <w:t xml:space="preserve">                                       </w:t>
      </w:r>
    </w:p>
    <w:p w14:paraId="324BE209" w14:textId="4207F1EC"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13. KCB RWANDA Ltd</w:t>
      </w:r>
    </w:p>
    <w:p w14:paraId="242B3343"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14. UNGUKA BANK Ltd</w:t>
      </w:r>
    </w:p>
    <w:p w14:paraId="285A4977" w14:textId="77777777" w:rsidR="008713BC" w:rsidRPr="00BA5970"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15. URWEGO BANK Plc                              </w:t>
      </w:r>
    </w:p>
    <w:p w14:paraId="2AC10F95" w14:textId="77777777" w:rsidR="008713BC" w:rsidRPr="008713BC" w:rsidRDefault="008713BC" w:rsidP="00B709F4">
      <w:pPr>
        <w:tabs>
          <w:tab w:val="left" w:pos="6075"/>
        </w:tabs>
        <w:spacing w:line="276" w:lineRule="auto"/>
        <w:rPr>
          <w:rFonts w:ascii="BentonSans Book" w:eastAsia="Times New Roman" w:hAnsi="BentonSans Book" w:cs="Times New Roman"/>
        </w:rPr>
      </w:pPr>
      <w:r w:rsidRPr="00BA5970">
        <w:rPr>
          <w:rFonts w:ascii="BentonSans Book" w:eastAsia="Times New Roman" w:hAnsi="BentonSans Book" w:cs="Times New Roman"/>
        </w:rPr>
        <w:t xml:space="preserve">16. ZIGAMA CSS                                     </w:t>
      </w:r>
    </w:p>
    <w:p w14:paraId="4B7F8731" w14:textId="77777777" w:rsidR="00E75BAA" w:rsidRPr="008713BC" w:rsidRDefault="00E75BAA" w:rsidP="00B709F4">
      <w:pPr>
        <w:spacing w:line="276" w:lineRule="auto"/>
        <w:ind w:right="-180"/>
        <w:rPr>
          <w:rFonts w:ascii="BentonSans Book" w:eastAsia="Times New Roman" w:hAnsi="BentonSans Book" w:cs="Times New Roman"/>
        </w:rPr>
      </w:pPr>
    </w:p>
    <w:p w14:paraId="76724840" w14:textId="77777777" w:rsidR="00E75BAA" w:rsidRPr="007B0230" w:rsidRDefault="00E75BAA" w:rsidP="00B709F4">
      <w:pPr>
        <w:spacing w:line="276" w:lineRule="auto"/>
        <w:ind w:right="-180"/>
        <w:rPr>
          <w:rFonts w:ascii="Bookman Old Style" w:hAnsi="Bookman Old Style"/>
        </w:rPr>
      </w:pPr>
      <w:r w:rsidRPr="007B0230">
        <w:rPr>
          <w:rFonts w:ascii="Bookman Old Style" w:hAnsi="Bookman Old Style"/>
        </w:rPr>
        <w:tab/>
      </w:r>
    </w:p>
    <w:p w14:paraId="194ABD35" w14:textId="77777777" w:rsidR="00E75BAA" w:rsidRPr="007B0230" w:rsidRDefault="00E75BAA" w:rsidP="00B709F4">
      <w:pPr>
        <w:spacing w:line="276" w:lineRule="auto"/>
        <w:ind w:right="-180"/>
        <w:rPr>
          <w:rFonts w:ascii="Bookman Old Style" w:hAnsi="Bookman Old Style"/>
        </w:rPr>
      </w:pPr>
    </w:p>
    <w:p w14:paraId="63495AC4" w14:textId="77777777" w:rsidR="00E75BAA" w:rsidRPr="008647D2" w:rsidRDefault="00E75BAA" w:rsidP="00B709F4">
      <w:pPr>
        <w:spacing w:after="0" w:line="276" w:lineRule="auto"/>
        <w:jc w:val="both"/>
        <w:rPr>
          <w:rFonts w:ascii="Bookman Old Style" w:hAnsi="Bookman Old Style"/>
          <w:b/>
        </w:rPr>
      </w:pPr>
    </w:p>
    <w:p w14:paraId="102BFA1B" w14:textId="77777777" w:rsidR="00E75BAA" w:rsidRPr="00625AD1" w:rsidRDefault="00E75BAA" w:rsidP="00E75BAA">
      <w:pPr>
        <w:spacing w:line="360" w:lineRule="auto"/>
        <w:jc w:val="both"/>
        <w:rPr>
          <w:rFonts w:ascii="Bookman Old Style" w:hAnsi="Bookman Old Style"/>
          <w:sz w:val="28"/>
          <w:lang w:val="en-GB"/>
        </w:rPr>
      </w:pPr>
    </w:p>
    <w:p w14:paraId="02269CAD" w14:textId="77777777" w:rsidR="00E75BAA" w:rsidRDefault="00E75BAA" w:rsidP="00E75BAA">
      <w:pPr>
        <w:spacing w:after="0"/>
        <w:jc w:val="both"/>
        <w:rPr>
          <w:rFonts w:ascii="Bookman Old Style" w:eastAsia="Calibri" w:hAnsi="Bookman Old Style" w:cs="Calibri"/>
          <w:color w:val="000000"/>
        </w:rPr>
      </w:pPr>
    </w:p>
    <w:p w14:paraId="1E555B89" w14:textId="77777777" w:rsidR="00E75BAA" w:rsidRDefault="00E75BAA" w:rsidP="00E75BAA">
      <w:pPr>
        <w:spacing w:after="0"/>
        <w:jc w:val="both"/>
        <w:rPr>
          <w:rFonts w:ascii="Bookman Old Style" w:eastAsia="Calibri" w:hAnsi="Bookman Old Style" w:cs="Calibri"/>
          <w:color w:val="000000"/>
        </w:rPr>
      </w:pPr>
    </w:p>
    <w:p w14:paraId="4BA56393" w14:textId="77777777" w:rsidR="00BA5970" w:rsidRDefault="00BA5970" w:rsidP="00E75BAA">
      <w:pPr>
        <w:spacing w:after="0"/>
        <w:jc w:val="both"/>
        <w:rPr>
          <w:rFonts w:ascii="Bookman Old Style" w:eastAsia="Calibri" w:hAnsi="Bookman Old Style" w:cs="Calibri"/>
          <w:color w:val="000000"/>
        </w:rPr>
      </w:pPr>
    </w:p>
    <w:p w14:paraId="22E9CFDA" w14:textId="77777777" w:rsidR="00BA5970" w:rsidRDefault="00BA5970" w:rsidP="00E75BAA">
      <w:pPr>
        <w:spacing w:after="0"/>
        <w:jc w:val="both"/>
        <w:rPr>
          <w:rFonts w:ascii="Bookman Old Style" w:eastAsia="Calibri" w:hAnsi="Bookman Old Style" w:cs="Calibri"/>
          <w:color w:val="000000"/>
        </w:rPr>
      </w:pPr>
    </w:p>
    <w:p w14:paraId="7ED7A2AD" w14:textId="77777777" w:rsidR="00BA5970" w:rsidRDefault="00BA5970" w:rsidP="00E75BAA">
      <w:pPr>
        <w:spacing w:after="0"/>
        <w:jc w:val="both"/>
        <w:rPr>
          <w:rFonts w:ascii="Bookman Old Style" w:eastAsia="Calibri" w:hAnsi="Bookman Old Style" w:cs="Calibri"/>
          <w:color w:val="000000"/>
        </w:rPr>
      </w:pPr>
    </w:p>
    <w:p w14:paraId="3188C7CD" w14:textId="77777777" w:rsidR="00BA5970" w:rsidRDefault="00BA5970" w:rsidP="00E75BAA">
      <w:pPr>
        <w:spacing w:after="0"/>
        <w:jc w:val="both"/>
        <w:rPr>
          <w:rFonts w:ascii="Bookman Old Style" w:eastAsia="Calibri" w:hAnsi="Bookman Old Style" w:cs="Calibri"/>
          <w:color w:val="000000"/>
        </w:rPr>
      </w:pPr>
    </w:p>
    <w:p w14:paraId="1D9F3C7A" w14:textId="06405868" w:rsidR="00E75BAA" w:rsidRDefault="00E75BAA" w:rsidP="00E75BAA">
      <w:pPr>
        <w:spacing w:after="0"/>
        <w:jc w:val="both"/>
        <w:rPr>
          <w:rFonts w:ascii="Bookman Old Style" w:eastAsia="Calibri" w:hAnsi="Bookman Old Style" w:cs="Calibri"/>
          <w:color w:val="000000"/>
        </w:rPr>
      </w:pPr>
    </w:p>
    <w:p w14:paraId="00DFCD0C" w14:textId="77777777" w:rsidR="00E75BAA" w:rsidRDefault="00E75BAA" w:rsidP="00E75BAA">
      <w:pPr>
        <w:spacing w:after="0"/>
        <w:jc w:val="both"/>
        <w:rPr>
          <w:rFonts w:ascii="Bookman Old Style" w:eastAsia="Calibri" w:hAnsi="Bookman Old Style" w:cs="Calibri"/>
          <w:color w:val="000000"/>
        </w:rPr>
      </w:pPr>
    </w:p>
    <w:p w14:paraId="24C9E5BB" w14:textId="77777777" w:rsidR="00E75BAA" w:rsidRDefault="00E75BAA" w:rsidP="00E75BAA">
      <w:pPr>
        <w:pStyle w:val="NoSpacing"/>
        <w:shd w:val="clear" w:color="auto" w:fill="CC9900"/>
        <w:jc w:val="center"/>
      </w:pPr>
    </w:p>
    <w:p w14:paraId="707EFC64" w14:textId="77777777" w:rsidR="00E75BAA" w:rsidRDefault="00E75BAA" w:rsidP="00E75BAA">
      <w:pPr>
        <w:pStyle w:val="NoSpacing"/>
        <w:shd w:val="clear" w:color="auto" w:fill="CC9900"/>
        <w:jc w:val="center"/>
      </w:pPr>
    </w:p>
    <w:p w14:paraId="52A57C47" w14:textId="77777777" w:rsidR="00E75BAA" w:rsidRDefault="00E75BAA" w:rsidP="00E75BAA">
      <w:pPr>
        <w:pStyle w:val="NoSpacing"/>
        <w:shd w:val="clear" w:color="auto" w:fill="CC9900"/>
        <w:jc w:val="center"/>
      </w:pPr>
    </w:p>
    <w:p w14:paraId="319DA043" w14:textId="77777777" w:rsidR="00E75BAA" w:rsidRDefault="00E75BAA" w:rsidP="00E75BAA">
      <w:pPr>
        <w:pStyle w:val="NoSpacing"/>
        <w:shd w:val="clear" w:color="auto" w:fill="CC9900"/>
        <w:jc w:val="center"/>
      </w:pPr>
    </w:p>
    <w:p w14:paraId="0719F679" w14:textId="77777777" w:rsidR="00E75BAA" w:rsidRDefault="00E75BAA" w:rsidP="00E75BAA">
      <w:pPr>
        <w:pStyle w:val="NoSpacing"/>
        <w:shd w:val="clear" w:color="auto" w:fill="CC9900"/>
        <w:jc w:val="center"/>
      </w:pPr>
    </w:p>
    <w:p w14:paraId="0A11220E" w14:textId="77777777" w:rsidR="00E75BAA" w:rsidRDefault="00E75BAA" w:rsidP="00E75BAA">
      <w:pPr>
        <w:pStyle w:val="NoSpacing"/>
        <w:shd w:val="clear" w:color="auto" w:fill="CC9900"/>
        <w:jc w:val="center"/>
      </w:pPr>
    </w:p>
    <w:p w14:paraId="4E541900" w14:textId="77777777" w:rsidR="00E75BAA" w:rsidRDefault="00E75BAA" w:rsidP="00E75BAA">
      <w:pPr>
        <w:pStyle w:val="NoSpacing"/>
        <w:shd w:val="clear" w:color="auto" w:fill="CC9900"/>
        <w:jc w:val="center"/>
      </w:pPr>
    </w:p>
    <w:p w14:paraId="0B4FEB65" w14:textId="77777777" w:rsidR="00E75BAA" w:rsidRDefault="00E75BAA" w:rsidP="00E75BAA">
      <w:pPr>
        <w:pStyle w:val="NoSpacing"/>
        <w:shd w:val="clear" w:color="auto" w:fill="CC9900"/>
        <w:jc w:val="center"/>
      </w:pPr>
    </w:p>
    <w:p w14:paraId="140645BB" w14:textId="77777777" w:rsidR="00E75BAA" w:rsidRDefault="00E75BAA" w:rsidP="00E75BAA">
      <w:pPr>
        <w:pStyle w:val="NoSpacing"/>
        <w:shd w:val="clear" w:color="auto" w:fill="CC9900"/>
        <w:jc w:val="center"/>
      </w:pPr>
    </w:p>
    <w:p w14:paraId="4FADC7B6" w14:textId="77777777" w:rsidR="00E75BAA" w:rsidRDefault="00E75BAA" w:rsidP="00E75BAA">
      <w:pPr>
        <w:pStyle w:val="NoSpacing"/>
        <w:shd w:val="clear" w:color="auto" w:fill="CC9900"/>
        <w:jc w:val="center"/>
      </w:pPr>
    </w:p>
    <w:p w14:paraId="58D37479" w14:textId="77777777" w:rsidR="00E75BAA" w:rsidRDefault="00E75BAA" w:rsidP="00E75BAA">
      <w:pPr>
        <w:pStyle w:val="NoSpacing"/>
        <w:shd w:val="clear" w:color="auto" w:fill="CC9900"/>
        <w:jc w:val="center"/>
      </w:pPr>
    </w:p>
    <w:p w14:paraId="43281A40" w14:textId="77777777" w:rsidR="00E75BAA" w:rsidRDefault="00E75BAA" w:rsidP="00E75BAA">
      <w:pPr>
        <w:pStyle w:val="NoSpacing"/>
        <w:shd w:val="clear" w:color="auto" w:fill="CC9900"/>
        <w:jc w:val="center"/>
      </w:pPr>
    </w:p>
    <w:p w14:paraId="7483F059" w14:textId="77777777" w:rsidR="00E75BAA" w:rsidRDefault="00E75BAA" w:rsidP="00E75BAA">
      <w:pPr>
        <w:pStyle w:val="NoSpacing"/>
        <w:shd w:val="clear" w:color="auto" w:fill="CC9900"/>
        <w:jc w:val="center"/>
      </w:pPr>
    </w:p>
    <w:p w14:paraId="04A88424" w14:textId="77777777" w:rsidR="00E75BAA" w:rsidRDefault="00E75BAA" w:rsidP="00E75BAA">
      <w:pPr>
        <w:pStyle w:val="NoSpacing"/>
        <w:shd w:val="clear" w:color="auto" w:fill="CC9900"/>
        <w:jc w:val="center"/>
      </w:pPr>
    </w:p>
    <w:p w14:paraId="4FE20BA7" w14:textId="77777777" w:rsidR="00E75BAA" w:rsidRDefault="00E75BAA" w:rsidP="00E75BAA">
      <w:pPr>
        <w:pStyle w:val="NoSpacing"/>
        <w:shd w:val="clear" w:color="auto" w:fill="CC9900"/>
        <w:jc w:val="center"/>
      </w:pPr>
    </w:p>
    <w:p w14:paraId="2DE5F6D0" w14:textId="77777777" w:rsidR="00E75BAA" w:rsidRDefault="00E75BAA" w:rsidP="00E75BAA">
      <w:pPr>
        <w:pStyle w:val="NoSpacing"/>
        <w:shd w:val="clear" w:color="auto" w:fill="CC9900"/>
        <w:jc w:val="center"/>
      </w:pPr>
    </w:p>
    <w:p w14:paraId="6A3A47AD" w14:textId="77777777" w:rsidR="00E75BAA" w:rsidRDefault="00E75BAA" w:rsidP="00E75BAA">
      <w:pPr>
        <w:pStyle w:val="NoSpacing"/>
        <w:shd w:val="clear" w:color="auto" w:fill="CC9900"/>
        <w:jc w:val="center"/>
      </w:pPr>
    </w:p>
    <w:p w14:paraId="58DCA7F0" w14:textId="77777777" w:rsidR="00E75BAA" w:rsidRDefault="00E75BAA" w:rsidP="00E75BAA">
      <w:pPr>
        <w:pStyle w:val="NoSpacing"/>
        <w:shd w:val="clear" w:color="auto" w:fill="CC9900"/>
        <w:jc w:val="center"/>
      </w:pPr>
    </w:p>
    <w:p w14:paraId="24239834" w14:textId="77777777" w:rsidR="00E75BAA" w:rsidRDefault="00E75BAA" w:rsidP="00E75BAA">
      <w:pPr>
        <w:pStyle w:val="NoSpacing"/>
        <w:shd w:val="clear" w:color="auto" w:fill="CC9900"/>
        <w:jc w:val="center"/>
      </w:pPr>
      <w:r w:rsidRPr="00974512">
        <w:rPr>
          <w:rFonts w:ascii="BentonSans Book" w:hAnsi="BentonSans Book"/>
          <w:noProof/>
        </w:rPr>
        <w:drawing>
          <wp:inline distT="0" distB="0" distL="0" distR="0" wp14:anchorId="47E5904D" wp14:editId="4CDDC425">
            <wp:extent cx="4048125" cy="1666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8125" cy="1666875"/>
                    </a:xfrm>
                    <a:prstGeom prst="rect">
                      <a:avLst/>
                    </a:prstGeom>
                    <a:noFill/>
                    <a:ln>
                      <a:noFill/>
                    </a:ln>
                  </pic:spPr>
                </pic:pic>
              </a:graphicData>
            </a:graphic>
          </wp:inline>
        </w:drawing>
      </w:r>
    </w:p>
    <w:p w14:paraId="0492B998" w14:textId="77777777" w:rsidR="00E75BAA" w:rsidRDefault="00E75BAA" w:rsidP="00E75BAA">
      <w:pPr>
        <w:pStyle w:val="NoSpacing"/>
        <w:shd w:val="clear" w:color="auto" w:fill="CC9900"/>
        <w:jc w:val="center"/>
      </w:pPr>
    </w:p>
    <w:p w14:paraId="0BE6A043" w14:textId="77777777" w:rsidR="00E75BAA" w:rsidRDefault="00E75BAA" w:rsidP="00E75BAA">
      <w:pPr>
        <w:pStyle w:val="NoSpacing"/>
        <w:shd w:val="clear" w:color="auto" w:fill="CC9900"/>
        <w:jc w:val="center"/>
      </w:pPr>
    </w:p>
    <w:p w14:paraId="299EEBFB" w14:textId="77777777" w:rsidR="00E75BAA" w:rsidRDefault="00E75BAA" w:rsidP="00E75BAA">
      <w:pPr>
        <w:pStyle w:val="NoSpacing"/>
        <w:shd w:val="clear" w:color="auto" w:fill="CC9900"/>
        <w:jc w:val="center"/>
      </w:pPr>
    </w:p>
    <w:p w14:paraId="50CFB428" w14:textId="77777777" w:rsidR="00E75BAA" w:rsidRDefault="00E75BAA" w:rsidP="00E75BAA">
      <w:pPr>
        <w:pStyle w:val="NoSpacing"/>
        <w:shd w:val="clear" w:color="auto" w:fill="CC9900"/>
        <w:jc w:val="center"/>
      </w:pPr>
    </w:p>
    <w:p w14:paraId="4B3F304E" w14:textId="77777777" w:rsidR="00E75BAA" w:rsidRDefault="00E75BAA" w:rsidP="00E75BAA">
      <w:pPr>
        <w:pStyle w:val="NoSpacing"/>
        <w:shd w:val="clear" w:color="auto" w:fill="CC9900"/>
        <w:jc w:val="center"/>
      </w:pPr>
    </w:p>
    <w:p w14:paraId="522D0F01" w14:textId="77777777" w:rsidR="00E75BAA" w:rsidRDefault="00E75BAA" w:rsidP="00E75BAA">
      <w:pPr>
        <w:pStyle w:val="NoSpacing"/>
        <w:shd w:val="clear" w:color="auto" w:fill="CC9900"/>
        <w:jc w:val="center"/>
      </w:pPr>
    </w:p>
    <w:p w14:paraId="25A57E12" w14:textId="77777777" w:rsidR="00E75BAA" w:rsidRDefault="00E75BAA" w:rsidP="00E75BAA">
      <w:pPr>
        <w:pStyle w:val="NoSpacing"/>
        <w:shd w:val="clear" w:color="auto" w:fill="CC9900"/>
        <w:jc w:val="center"/>
      </w:pPr>
    </w:p>
    <w:p w14:paraId="58E230CF" w14:textId="77777777" w:rsidR="00E75BAA" w:rsidRDefault="00E75BAA" w:rsidP="00E75BAA">
      <w:pPr>
        <w:pStyle w:val="NoSpacing"/>
        <w:shd w:val="clear" w:color="auto" w:fill="CC9900"/>
        <w:jc w:val="center"/>
      </w:pPr>
    </w:p>
    <w:p w14:paraId="78775ED8" w14:textId="77777777" w:rsidR="00E75BAA" w:rsidRDefault="00E75BAA" w:rsidP="00E75BAA">
      <w:pPr>
        <w:pStyle w:val="NoSpacing"/>
        <w:shd w:val="clear" w:color="auto" w:fill="CC9900"/>
        <w:jc w:val="center"/>
      </w:pPr>
    </w:p>
    <w:p w14:paraId="167E8905" w14:textId="77777777" w:rsidR="00E75BAA" w:rsidRDefault="00E75BAA" w:rsidP="00E75BAA">
      <w:pPr>
        <w:pStyle w:val="NoSpacing"/>
        <w:shd w:val="clear" w:color="auto" w:fill="CC9900"/>
        <w:jc w:val="center"/>
      </w:pPr>
    </w:p>
    <w:p w14:paraId="0F5B44BC" w14:textId="77777777" w:rsidR="00E75BAA" w:rsidRDefault="00E75BAA" w:rsidP="00E75BAA">
      <w:pPr>
        <w:pStyle w:val="NoSpacing"/>
        <w:shd w:val="clear" w:color="auto" w:fill="CC9900"/>
        <w:jc w:val="center"/>
      </w:pPr>
    </w:p>
    <w:p w14:paraId="3B689173" w14:textId="77777777" w:rsidR="00E75BAA" w:rsidRDefault="00E75BAA" w:rsidP="00E75BAA">
      <w:pPr>
        <w:pStyle w:val="NoSpacing"/>
        <w:shd w:val="clear" w:color="auto" w:fill="CC9900"/>
        <w:jc w:val="center"/>
      </w:pPr>
    </w:p>
    <w:p w14:paraId="609F182E" w14:textId="2574A82A" w:rsidR="00D85BF4" w:rsidRPr="00E75BAA" w:rsidRDefault="00D85BF4" w:rsidP="00E75BAA">
      <w:pPr>
        <w:spacing w:after="0"/>
        <w:jc w:val="both"/>
        <w:rPr>
          <w:rFonts w:ascii="Bookman Old Style" w:eastAsia="Calibri" w:hAnsi="Bookman Old Style" w:cs="Calibri"/>
          <w:color w:val="000000"/>
        </w:rPr>
      </w:pPr>
    </w:p>
    <w:sectPr w:rsidR="00D85BF4" w:rsidRPr="00E75BAA" w:rsidSect="00A9267E">
      <w:footerReference w:type="default" r:id="rId22"/>
      <w:pgSz w:w="12240" w:h="15840"/>
      <w:pgMar w:top="990" w:right="1260" w:bottom="1350" w:left="1440" w:header="720" w:footer="720" w:gutter="0"/>
      <w:pgBorders w:offsetFrom="page">
        <w:top w:val="double" w:sz="4" w:space="24" w:color="BF8F00" w:themeColor="accent4" w:themeShade="BF"/>
        <w:left w:val="double" w:sz="4" w:space="24" w:color="BF8F00" w:themeColor="accent4" w:themeShade="BF"/>
        <w:bottom w:val="double" w:sz="4" w:space="24" w:color="BF8F00" w:themeColor="accent4" w:themeShade="BF"/>
        <w:right w:val="double" w:sz="4" w:space="24" w:color="BF8F00" w:themeColor="accent4" w:themeShade="BF"/>
      </w:pgBorders>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DC1E3" w14:textId="77777777" w:rsidR="00DA77CB" w:rsidRDefault="00DA77CB" w:rsidP="002D5ADD">
      <w:pPr>
        <w:spacing w:after="0" w:line="240" w:lineRule="auto"/>
      </w:pPr>
      <w:r>
        <w:separator/>
      </w:r>
    </w:p>
  </w:endnote>
  <w:endnote w:type="continuationSeparator" w:id="0">
    <w:p w14:paraId="1292B138" w14:textId="77777777" w:rsidR="00DA77CB" w:rsidRDefault="00DA77CB" w:rsidP="002D5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Frutiger CE 45 Light">
    <w:altName w:val="Frutiger CE 45 Light"/>
    <w:panose1 w:val="00000000000000000000"/>
    <w:charset w:val="00"/>
    <w:family w:val="swiss"/>
    <w:notTrueType/>
    <w:pitch w:val="default"/>
    <w:sig w:usb0="00000003" w:usb1="00000000" w:usb2="00000000" w:usb3="00000000" w:csb0="00000001" w:csb1="00000000"/>
  </w:font>
  <w:font w:name="HelveticaNeueLT Pro 65 Md">
    <w:altName w:val="HelveticaNeueLT Pro 65 M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ntonSans Bold">
    <w:panose1 w:val="02000503040000020004"/>
    <w:charset w:val="00"/>
    <w:family w:val="modern"/>
    <w:notTrueType/>
    <w:pitch w:val="variable"/>
    <w:sig w:usb0="8000002F" w:usb1="5000004A" w:usb2="00000000" w:usb3="00000000" w:csb0="00000001" w:csb1="00000000"/>
  </w:font>
  <w:font w:name="BentonSans Book">
    <w:panose1 w:val="02000503040000020004"/>
    <w:charset w:val="00"/>
    <w:family w:val="modern"/>
    <w:notTrueType/>
    <w:pitch w:val="variable"/>
    <w:sig w:usb0="8000002F" w:usb1="5000004A" w:usb2="00000000" w:usb3="00000000" w:csb0="00000001" w:csb1="00000000"/>
  </w:font>
  <w:font w:name="BentonSans Black">
    <w:panose1 w:val="02000503040000020004"/>
    <w:charset w:val="00"/>
    <w:family w:val="modern"/>
    <w:notTrueType/>
    <w:pitch w:val="variable"/>
    <w:sig w:usb0="8000002F" w:usb1="5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45ED4" w14:textId="77777777" w:rsidR="00C11618" w:rsidRDefault="00C11618" w:rsidP="00E35D50">
    <w:pPr>
      <w:pStyle w:val="Footer"/>
      <w:jc w:val="center"/>
    </w:pPr>
  </w:p>
  <w:p w14:paraId="20D6C049" w14:textId="77777777" w:rsidR="00C11618" w:rsidRDefault="00C11618" w:rsidP="000E1A3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entonSans Book" w:hAnsi="BentonSans Book"/>
      </w:rPr>
      <w:id w:val="1558048110"/>
      <w:docPartObj>
        <w:docPartGallery w:val="Page Numbers (Bottom of Page)"/>
        <w:docPartUnique/>
      </w:docPartObj>
    </w:sdtPr>
    <w:sdtEndPr/>
    <w:sdtContent>
      <w:p w14:paraId="0D68907F" w14:textId="77777777" w:rsidR="00C11618" w:rsidRPr="00CD56D3" w:rsidRDefault="00C11618">
        <w:pPr>
          <w:pStyle w:val="Footer"/>
          <w:jc w:val="right"/>
          <w:rPr>
            <w:rFonts w:ascii="BentonSans Book" w:hAnsi="BentonSans Book"/>
          </w:rPr>
        </w:pPr>
        <w:r w:rsidRPr="00CD56D3">
          <w:rPr>
            <w:rFonts w:ascii="BentonSans Book" w:hAnsi="BentonSans Book"/>
            <w:noProof/>
          </w:rPr>
          <mc:AlternateContent>
            <mc:Choice Requires="wps">
              <w:drawing>
                <wp:anchor distT="0" distB="0" distL="114300" distR="114300" simplePos="0" relativeHeight="251659264" behindDoc="0" locked="0" layoutInCell="1" allowOverlap="1" wp14:anchorId="3A7A97D4" wp14:editId="0C1F84CC">
                  <wp:simplePos x="0" y="0"/>
                  <wp:positionH relativeFrom="margin">
                    <wp:align>right</wp:align>
                  </wp:positionH>
                  <wp:positionV relativeFrom="paragraph">
                    <wp:posOffset>226060</wp:posOffset>
                  </wp:positionV>
                  <wp:extent cx="485775" cy="28575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485775" cy="285750"/>
                          </a:xfrm>
                          <a:prstGeom prst="rect">
                            <a:avLst/>
                          </a:prstGeom>
                          <a:solidFill>
                            <a:schemeClr val="accent5">
                              <a:lumMod val="20000"/>
                              <a:lumOff val="80000"/>
                            </a:schemeClr>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5AAE1F60" w14:textId="5BB5E25F" w:rsidR="00C11618" w:rsidRPr="00CD56D3" w:rsidRDefault="00C11618" w:rsidP="002A7796">
                              <w:pPr>
                                <w:pStyle w:val="Footer"/>
                                <w:shd w:val="clear" w:color="auto" w:fill="FFC000" w:themeFill="accent4"/>
                                <w:jc w:val="center"/>
                                <w:rPr>
                                  <w:rFonts w:ascii="BentonSans Book" w:hAnsi="BentonSans Book"/>
                                  <w:sz w:val="26"/>
                                </w:rPr>
                              </w:pPr>
                              <w:r w:rsidRPr="00CD56D3">
                                <w:rPr>
                                  <w:rFonts w:ascii="BentonSans Book" w:hAnsi="BentonSans Book"/>
                                  <w:sz w:val="26"/>
                                </w:rPr>
                                <w:fldChar w:fldCharType="begin"/>
                              </w:r>
                              <w:r w:rsidRPr="00CD56D3">
                                <w:rPr>
                                  <w:rFonts w:ascii="BentonSans Book" w:hAnsi="BentonSans Book"/>
                                  <w:sz w:val="26"/>
                                </w:rPr>
                                <w:instrText xml:space="preserve"> PAGE   \* MERGEFORMAT </w:instrText>
                              </w:r>
                              <w:r w:rsidRPr="00CD56D3">
                                <w:rPr>
                                  <w:rFonts w:ascii="BentonSans Book" w:hAnsi="BentonSans Book"/>
                                  <w:sz w:val="26"/>
                                </w:rPr>
                                <w:fldChar w:fldCharType="separate"/>
                              </w:r>
                              <w:r w:rsidR="00A93E55">
                                <w:rPr>
                                  <w:rFonts w:ascii="BentonSans Book" w:hAnsi="BentonSans Book"/>
                                  <w:noProof/>
                                  <w:sz w:val="26"/>
                                </w:rPr>
                                <w:t>-</w:t>
                              </w:r>
                              <w:r w:rsidR="00A93E55" w:rsidRPr="00A93E55">
                                <w:rPr>
                                  <w:rFonts w:ascii="BentonSans Book" w:hAnsi="BentonSans Book"/>
                                  <w:noProof/>
                                  <w:sz w:val="24"/>
                                </w:rPr>
                                <w:t xml:space="preserve"> 8 -</w:t>
                              </w:r>
                              <w:r w:rsidRPr="00CD56D3">
                                <w:rPr>
                                  <w:rFonts w:ascii="BentonSans Book" w:hAnsi="BentonSans Book"/>
                                  <w:sz w:val="26"/>
                                </w:rPr>
                                <w:fldChar w:fldCharType="end"/>
                              </w:r>
                            </w:p>
                            <w:p w14:paraId="64F67CB7" w14:textId="77777777" w:rsidR="00C11618" w:rsidRPr="004A7AB3" w:rsidRDefault="00C11618" w:rsidP="00E80E4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A97D4" id="_x0000_t202" coordsize="21600,21600" o:spt="202" path="m,l,21600r21600,l21600,xe">
                  <v:stroke joinstyle="miter"/>
                  <v:path gradientshapeok="t" o:connecttype="rect"/>
                </v:shapetype>
                <v:shape id="Text Box 110" o:spid="_x0000_s1030" type="#_x0000_t202" style="position:absolute;left:0;text-align:left;margin-left:-12.95pt;margin-top:17.8pt;width:38.25pt;height: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" fillcolor="#deeaf6 [664]" strokecolor="#44546a [3215]" strokeweight=".5pt">
                  <v:textbox>
                    <w:txbxContent>
                      <w:p w14:paraId="5AAE1F60" w14:textId="5BB5E25F" w:rsidR="00C11618" w:rsidRPr="00CD56D3" w:rsidRDefault="00C11618" w:rsidP="002A7796">
                        <w:pPr>
                          <w:pStyle w:val="Footer"/>
                          <w:shd w:val="clear" w:color="auto" w:fill="FFC000" w:themeFill="accent4"/>
                          <w:jc w:val="center"/>
                          <w:rPr>
                            <w:rFonts w:ascii="BentonSans Book" w:hAnsi="BentonSans Book"/>
                            <w:sz w:val="26"/>
                          </w:rPr>
                        </w:pPr>
                        <w:r w:rsidRPr="00CD56D3">
                          <w:rPr>
                            <w:rFonts w:ascii="BentonSans Book" w:hAnsi="BentonSans Book"/>
                            <w:sz w:val="26"/>
                          </w:rPr>
                          <w:fldChar w:fldCharType="begin"/>
                        </w:r>
                        <w:r w:rsidRPr="00CD56D3">
                          <w:rPr>
                            <w:rFonts w:ascii="BentonSans Book" w:hAnsi="BentonSans Book"/>
                            <w:sz w:val="26"/>
                          </w:rPr>
                          <w:instrText xml:space="preserve"> PAGE   \* MERGEFORMAT </w:instrText>
                        </w:r>
                        <w:r w:rsidRPr="00CD56D3">
                          <w:rPr>
                            <w:rFonts w:ascii="BentonSans Book" w:hAnsi="BentonSans Book"/>
                            <w:sz w:val="26"/>
                          </w:rPr>
                          <w:fldChar w:fldCharType="separate"/>
                        </w:r>
                        <w:r w:rsidR="00A93E55">
                          <w:rPr>
                            <w:rFonts w:ascii="BentonSans Book" w:hAnsi="BentonSans Book"/>
                            <w:noProof/>
                            <w:sz w:val="26"/>
                          </w:rPr>
                          <w:t>-</w:t>
                        </w:r>
                        <w:r w:rsidR="00A93E55" w:rsidRPr="00A93E55">
                          <w:rPr>
                            <w:rFonts w:ascii="BentonSans Book" w:hAnsi="BentonSans Book"/>
                            <w:noProof/>
                            <w:sz w:val="24"/>
                          </w:rPr>
                          <w:t xml:space="preserve"> 8 -</w:t>
                        </w:r>
                        <w:r w:rsidRPr="00CD56D3">
                          <w:rPr>
                            <w:rFonts w:ascii="BentonSans Book" w:hAnsi="BentonSans Book"/>
                            <w:sz w:val="26"/>
                          </w:rPr>
                          <w:fldChar w:fldCharType="end"/>
                        </w:r>
                      </w:p>
                      <w:p w14:paraId="64F67CB7" w14:textId="77777777" w:rsidR="00C11618" w:rsidRPr="004A7AB3" w:rsidRDefault="00C11618" w:rsidP="00E80E4C">
                        <w:pPr>
                          <w:rPr>
                            <w:sz w:val="20"/>
                            <w:szCs w:val="20"/>
                          </w:rPr>
                        </w:pPr>
                      </w:p>
                    </w:txbxContent>
                  </v:textbox>
                  <w10:wrap anchorx="margin"/>
                </v:shape>
              </w:pict>
            </mc:Fallback>
          </mc:AlternateContent>
        </w:r>
      </w:p>
      <w:tbl>
        <w:tblPr>
          <w:tblW w:w="8926" w:type="dxa"/>
          <w:tblInd w:w="-196" w:type="dxa"/>
          <w:tblBorders>
            <w:top w:val="double" w:sz="4" w:space="0" w:color="auto"/>
            <w:insideH w:val="single" w:sz="12" w:space="0" w:color="9BBB59"/>
            <w:insideV w:val="single" w:sz="2" w:space="0" w:color="9BBB59"/>
          </w:tblBorders>
          <w:shd w:val="clear" w:color="auto" w:fill="EAF1DD"/>
          <w:tblLook w:val="04A0" w:firstRow="1" w:lastRow="0" w:firstColumn="1" w:lastColumn="0" w:noHBand="0" w:noVBand="1"/>
        </w:tblPr>
        <w:tblGrid>
          <w:gridCol w:w="3346"/>
          <w:gridCol w:w="3330"/>
          <w:gridCol w:w="2250"/>
        </w:tblGrid>
        <w:tr w:rsidR="00C11618" w:rsidRPr="00CD56D3" w14:paraId="569927F3" w14:textId="77777777" w:rsidTr="009E36BF">
          <w:trPr>
            <w:trHeight w:val="600"/>
          </w:trPr>
          <w:tc>
            <w:tcPr>
              <w:tcW w:w="3346" w:type="dxa"/>
              <w:shd w:val="clear" w:color="auto" w:fill="DEEAF6" w:themeFill="accent5" w:themeFillTint="33"/>
              <w:vAlign w:val="center"/>
            </w:tcPr>
            <w:p w14:paraId="7F7C0F81" w14:textId="77777777" w:rsidR="00C11618" w:rsidRPr="00134513" w:rsidRDefault="00C11618" w:rsidP="00E80E4C">
              <w:pPr>
                <w:pStyle w:val="Footer"/>
                <w:tabs>
                  <w:tab w:val="left" w:pos="6336"/>
                </w:tabs>
                <w:jc w:val="center"/>
                <w:rPr>
                  <w:rFonts w:ascii="BentonSans Book" w:hAnsi="BentonSans Book"/>
                  <w:b/>
                  <w:color w:val="000000" w:themeColor="text1"/>
                  <w:sz w:val="18"/>
                </w:rPr>
              </w:pPr>
              <w:r w:rsidRPr="00134513">
                <w:rPr>
                  <w:rFonts w:ascii="BentonSans Book" w:hAnsi="BentonSans Book"/>
                  <w:b/>
                  <w:color w:val="000000" w:themeColor="text1"/>
                  <w:sz w:val="18"/>
                </w:rPr>
                <w:t>NATIONAL BANK OF RWANDA</w:t>
              </w:r>
            </w:p>
          </w:tc>
          <w:tc>
            <w:tcPr>
              <w:tcW w:w="3330" w:type="dxa"/>
              <w:shd w:val="clear" w:color="auto" w:fill="DEEAF6" w:themeFill="accent5" w:themeFillTint="33"/>
              <w:vAlign w:val="center"/>
            </w:tcPr>
            <w:p w14:paraId="556BD0FB" w14:textId="77777777" w:rsidR="00C11618" w:rsidRPr="00134513" w:rsidRDefault="00384385" w:rsidP="00E80E4C">
              <w:pPr>
                <w:pStyle w:val="Footer"/>
                <w:tabs>
                  <w:tab w:val="left" w:pos="6336"/>
                </w:tabs>
                <w:jc w:val="center"/>
                <w:rPr>
                  <w:rFonts w:ascii="BentonSans Book" w:hAnsi="BentonSans Book"/>
                  <w:b/>
                  <w:color w:val="000000" w:themeColor="text1"/>
                  <w:sz w:val="18"/>
                </w:rPr>
              </w:pPr>
              <w:r w:rsidRPr="00134513">
                <w:rPr>
                  <w:rFonts w:ascii="BentonSans Book" w:hAnsi="BentonSans Book"/>
                  <w:b/>
                  <w:color w:val="000000" w:themeColor="text1"/>
                  <w:sz w:val="18"/>
                </w:rPr>
                <w:t>CREDIT SURVEY REPORT</w:t>
              </w:r>
            </w:p>
          </w:tc>
          <w:tc>
            <w:tcPr>
              <w:tcW w:w="2250" w:type="dxa"/>
              <w:shd w:val="clear" w:color="auto" w:fill="DEEAF6" w:themeFill="accent5" w:themeFillTint="33"/>
              <w:vAlign w:val="center"/>
            </w:tcPr>
            <w:p w14:paraId="243D169C" w14:textId="71717F56" w:rsidR="00C11618" w:rsidRPr="00134513" w:rsidRDefault="000F045C" w:rsidP="00F66B92">
              <w:pPr>
                <w:pStyle w:val="Footer"/>
                <w:tabs>
                  <w:tab w:val="left" w:pos="6336"/>
                </w:tabs>
                <w:jc w:val="center"/>
                <w:rPr>
                  <w:rFonts w:ascii="BentonSans Book" w:hAnsi="BentonSans Book"/>
                  <w:b/>
                  <w:color w:val="000000" w:themeColor="text1"/>
                  <w:sz w:val="18"/>
                </w:rPr>
              </w:pPr>
              <w:r w:rsidRPr="00134513">
                <w:rPr>
                  <w:rFonts w:ascii="BentonSans Book" w:hAnsi="BentonSans Book"/>
                  <w:b/>
                  <w:color w:val="000000" w:themeColor="text1"/>
                  <w:sz w:val="18"/>
                </w:rPr>
                <w:t>QUARTER TWO</w:t>
              </w:r>
              <w:r w:rsidR="00CD56D3" w:rsidRPr="00134513">
                <w:rPr>
                  <w:rFonts w:ascii="BentonSans Book" w:hAnsi="BentonSans Book"/>
                  <w:b/>
                  <w:color w:val="000000" w:themeColor="text1"/>
                  <w:sz w:val="18"/>
                </w:rPr>
                <w:t xml:space="preserve"> </w:t>
              </w:r>
              <w:r w:rsidR="00384385" w:rsidRPr="00134513">
                <w:rPr>
                  <w:rFonts w:ascii="BentonSans Book" w:hAnsi="BentonSans Book"/>
                  <w:b/>
                  <w:color w:val="000000" w:themeColor="text1"/>
                  <w:sz w:val="18"/>
                </w:rPr>
                <w:t xml:space="preserve"> </w:t>
              </w:r>
              <w:r w:rsidR="00ED0A01" w:rsidRPr="00134513">
                <w:rPr>
                  <w:rFonts w:ascii="BentonSans Book" w:hAnsi="BentonSans Book"/>
                  <w:b/>
                  <w:color w:val="000000" w:themeColor="text1"/>
                  <w:sz w:val="18"/>
                </w:rPr>
                <w:t xml:space="preserve"> 2019</w:t>
              </w:r>
            </w:p>
          </w:tc>
        </w:tr>
      </w:tbl>
      <w:p w14:paraId="4C9E87D8" w14:textId="77777777" w:rsidR="00C11618" w:rsidRDefault="00DA77CB">
        <w:pPr>
          <w:pStyle w:val="Footer"/>
          <w:jc w:val="right"/>
        </w:pPr>
      </w:p>
    </w:sdtContent>
  </w:sdt>
  <w:p w14:paraId="78CE38E4" w14:textId="77777777" w:rsidR="00C11618" w:rsidRDefault="00C11618" w:rsidP="000E1A3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217C2" w14:textId="77777777" w:rsidR="00DA77CB" w:rsidRDefault="00DA77CB" w:rsidP="002D5ADD">
      <w:pPr>
        <w:spacing w:after="0" w:line="240" w:lineRule="auto"/>
      </w:pPr>
      <w:r>
        <w:separator/>
      </w:r>
    </w:p>
  </w:footnote>
  <w:footnote w:type="continuationSeparator" w:id="0">
    <w:p w14:paraId="48FAF616" w14:textId="77777777" w:rsidR="00DA77CB" w:rsidRDefault="00DA77CB" w:rsidP="002D5ADD">
      <w:pPr>
        <w:spacing w:after="0" w:line="240" w:lineRule="auto"/>
      </w:pPr>
      <w:r>
        <w:continuationSeparator/>
      </w:r>
    </w:p>
  </w:footnote>
  <w:footnote w:id="1">
    <w:p w14:paraId="2A59BDB9" w14:textId="77777777" w:rsidR="00CA7BC0" w:rsidRPr="00A206DB" w:rsidRDefault="00CA7BC0" w:rsidP="00CA7BC0">
      <w:pPr>
        <w:pStyle w:val="FootnoteText"/>
        <w:jc w:val="both"/>
        <w:rPr>
          <w:rFonts w:ascii="BentonSans Book" w:hAnsi="BentonSans Book"/>
          <w:sz w:val="22"/>
        </w:rPr>
      </w:pPr>
      <w:r>
        <w:rPr>
          <w:rStyle w:val="FootnoteReference"/>
        </w:rPr>
        <w:footnoteRef/>
      </w:r>
      <w:r>
        <w:t xml:space="preserve"> </w:t>
      </w:r>
      <w:r w:rsidRPr="00A206DB">
        <w:rPr>
          <w:rStyle w:val="st"/>
          <w:rFonts w:ascii="BentonSans Book" w:hAnsi="BentonSans Book"/>
          <w:sz w:val="18"/>
        </w:rPr>
        <w:t>The loan rejection rate is the ratio of the value or number of rejected loan applications by all banks to the number of loan applications received by the banks during the same period.</w:t>
      </w:r>
    </w:p>
    <w:p w14:paraId="02C78818" w14:textId="13F0D99A" w:rsidR="00CA7BC0" w:rsidRPr="00A206DB" w:rsidRDefault="00CA7BC0" w:rsidP="00CA7BC0">
      <w:pPr>
        <w:pStyle w:val="FootnoteText"/>
        <w:rPr>
          <w:rFonts w:ascii="BentonSans Book" w:hAnsi="BentonSans Book"/>
        </w:rPr>
      </w:pPr>
    </w:p>
  </w:footnote>
  <w:footnote w:id="2">
    <w:p w14:paraId="43A39391" w14:textId="77777777" w:rsidR="00905B32" w:rsidRPr="00A206DB" w:rsidRDefault="00905B32" w:rsidP="00905B32">
      <w:pPr>
        <w:rPr>
          <w:rFonts w:ascii="BentonSans Book" w:hAnsi="BentonSans Book"/>
          <w:sz w:val="18"/>
        </w:rPr>
      </w:pPr>
      <w:r w:rsidRPr="00A206DB">
        <w:rPr>
          <w:rStyle w:val="FootnoteReference"/>
          <w:rFonts w:ascii="BentonSans Book" w:hAnsi="BentonSans Book"/>
        </w:rPr>
        <w:footnoteRef/>
      </w:r>
      <w:r w:rsidRPr="00A206DB">
        <w:rPr>
          <w:rFonts w:ascii="BentonSans Book" w:hAnsi="BentonSans Book"/>
        </w:rPr>
        <w:t xml:space="preserve"> </w:t>
      </w:r>
      <w:r w:rsidRPr="00A206DB">
        <w:rPr>
          <w:rFonts w:ascii="BentonSans Book" w:hAnsi="BentonSans Book" w:cs="Arial"/>
          <w:color w:val="222222"/>
          <w:sz w:val="18"/>
        </w:rPr>
        <w:t>Credit standards are</w:t>
      </w:r>
      <w:r w:rsidRPr="00A206DB">
        <w:rPr>
          <w:rFonts w:ascii="BentonSans Book" w:hAnsi="BentonSans Book" w:cs="Arial"/>
          <w:sz w:val="18"/>
        </w:rPr>
        <w:t xml:space="preserve"> internal guidelines used by a bank to determine if a potential borrower is creditworthy. They mainly include collateral requirement and size of the loan.</w:t>
      </w:r>
    </w:p>
    <w:p w14:paraId="7560F644" w14:textId="77777777" w:rsidR="00905B32" w:rsidRDefault="00905B32" w:rsidP="00905B32">
      <w:pPr>
        <w:pStyle w:val="FootnoteText"/>
      </w:pPr>
    </w:p>
  </w:footnote>
  <w:footnote w:id="3">
    <w:p w14:paraId="6341AF59" w14:textId="49D1C088" w:rsidR="00B76730" w:rsidRDefault="00B76730">
      <w:pPr>
        <w:pStyle w:val="FootnoteText"/>
      </w:pPr>
      <w:r>
        <w:rPr>
          <w:rStyle w:val="FootnoteReference"/>
        </w:rPr>
        <w:footnoteRef/>
      </w:r>
      <w:r>
        <w:t xml:space="preserve"> </w:t>
      </w:r>
      <w:proofErr w:type="gramStart"/>
      <w:r>
        <w:rPr>
          <w:rFonts w:ascii="BentonSans Book" w:eastAsia="Times New Roman" w:hAnsi="BentonSans Book" w:cs="Times New Roman"/>
          <w:sz w:val="24"/>
          <w:szCs w:val="24"/>
        </w:rPr>
        <w:t>c</w:t>
      </w:r>
      <w:r w:rsidRPr="00024076">
        <w:rPr>
          <w:rFonts w:ascii="BentonSans Book" w:hAnsi="BentonSans Book"/>
        </w:rPr>
        <w:t>redit</w:t>
      </w:r>
      <w:proofErr w:type="gramEnd"/>
      <w:r w:rsidRPr="00024076">
        <w:rPr>
          <w:rFonts w:ascii="BentonSans Book" w:hAnsi="BentonSans Book"/>
        </w:rPr>
        <w:t xml:space="preserve"> terms and conditions</w:t>
      </w:r>
      <w:r>
        <w:rPr>
          <w:rFonts w:ascii="BentonSans Book" w:hAnsi="BentonSans Book"/>
        </w:rPr>
        <w:t xml:space="preserve"> are</w:t>
      </w:r>
      <w:r w:rsidRPr="00024076">
        <w:rPr>
          <w:rFonts w:ascii="BentonSans Book" w:hAnsi="BentonSans Book"/>
        </w:rPr>
        <w:t xml:space="preserve"> terms</w:t>
      </w:r>
      <w:r>
        <w:rPr>
          <w:rFonts w:ascii="BentonSans Book" w:hAnsi="BentonSans Book"/>
        </w:rPr>
        <w:t xml:space="preserve"> and conditions</w:t>
      </w:r>
      <w:r w:rsidRPr="00024076">
        <w:rPr>
          <w:rFonts w:ascii="BentonSans Book" w:hAnsi="BentonSans Book"/>
        </w:rPr>
        <w:t xml:space="preserve"> on which a bank provides credit to a customer after it has been approved. They mainly include the interest rate, maturity</w:t>
      </w:r>
      <w:r>
        <w:rPr>
          <w:rFonts w:ascii="BentonSans Book" w:hAnsi="BentonSans Book"/>
        </w:rPr>
        <w:t xml:space="preserve"> and</w:t>
      </w:r>
      <w:r w:rsidRPr="00024076">
        <w:rPr>
          <w:rFonts w:ascii="BentonSans Book" w:hAnsi="BentonSans Book"/>
        </w:rPr>
        <w:t xml:space="preserve"> frequency of payment.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1307"/>
    <w:multiLevelType w:val="multilevel"/>
    <w:tmpl w:val="47060C5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22C687C"/>
    <w:multiLevelType w:val="multilevel"/>
    <w:tmpl w:val="62A6138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4105CA9"/>
    <w:multiLevelType w:val="hybridMultilevel"/>
    <w:tmpl w:val="BEA410AA"/>
    <w:lvl w:ilvl="0" w:tplc="CFAA251A">
      <w:start w:val="1"/>
      <w:numFmt w:val="decimal"/>
      <w:pStyle w:val="FSAparagraph"/>
      <w:lvlText w:val="%1.     "/>
      <w:lvlJc w:val="left"/>
      <w:pPr>
        <w:tabs>
          <w:tab w:val="num" w:pos="720"/>
        </w:tabs>
        <w:ind w:left="0" w:firstLine="0"/>
      </w:pPr>
      <w:rPr>
        <w:rFonts w:hint="default"/>
        <w:b w:val="0"/>
        <w:color w:val="auto"/>
        <w:sz w:val="24"/>
        <w:szCs w:val="24"/>
      </w:rPr>
    </w:lvl>
    <w:lvl w:ilvl="1" w:tplc="04090019">
      <w:start w:val="1"/>
      <w:numFmt w:val="lowerLetter"/>
      <w:lvlText w:val="%2."/>
      <w:lvlJc w:val="left"/>
      <w:pPr>
        <w:tabs>
          <w:tab w:val="num" w:pos="4500"/>
        </w:tabs>
        <w:ind w:left="450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6869DF"/>
    <w:multiLevelType w:val="hybridMultilevel"/>
    <w:tmpl w:val="1A48BFA6"/>
    <w:lvl w:ilvl="0" w:tplc="DEA02CA0">
      <w:start w:val="1"/>
      <w:numFmt w:val="upperRoman"/>
      <w:pStyle w:val="FSA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86F20"/>
    <w:multiLevelType w:val="hybridMultilevel"/>
    <w:tmpl w:val="D8CEEBE0"/>
    <w:lvl w:ilvl="0" w:tplc="9B241F64">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72770"/>
    <w:multiLevelType w:val="hybridMultilevel"/>
    <w:tmpl w:val="360CFABC"/>
    <w:lvl w:ilvl="0" w:tplc="6366D6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AE7A2E"/>
    <w:multiLevelType w:val="hybridMultilevel"/>
    <w:tmpl w:val="6DB0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F1390"/>
    <w:multiLevelType w:val="hybridMultilevel"/>
    <w:tmpl w:val="45CC1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815F38"/>
    <w:multiLevelType w:val="multilevel"/>
    <w:tmpl w:val="8058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C8612D"/>
    <w:multiLevelType w:val="hybridMultilevel"/>
    <w:tmpl w:val="B0DC74E4"/>
    <w:lvl w:ilvl="0" w:tplc="B964B184">
      <w:start w:val="1"/>
      <w:numFmt w:val="bullet"/>
      <w:lvlText w:val=""/>
      <w:lvlJc w:val="left"/>
      <w:pPr>
        <w:tabs>
          <w:tab w:val="num" w:pos="720"/>
        </w:tabs>
        <w:ind w:left="720" w:hanging="360"/>
      </w:pPr>
      <w:rPr>
        <w:rFonts w:ascii="Wingdings" w:hAnsi="Wingdings" w:hint="default"/>
      </w:rPr>
    </w:lvl>
    <w:lvl w:ilvl="1" w:tplc="8F262EB6" w:tentative="1">
      <w:start w:val="1"/>
      <w:numFmt w:val="bullet"/>
      <w:lvlText w:val=""/>
      <w:lvlJc w:val="left"/>
      <w:pPr>
        <w:tabs>
          <w:tab w:val="num" w:pos="1440"/>
        </w:tabs>
        <w:ind w:left="1440" w:hanging="360"/>
      </w:pPr>
      <w:rPr>
        <w:rFonts w:ascii="Wingdings" w:hAnsi="Wingdings" w:hint="default"/>
      </w:rPr>
    </w:lvl>
    <w:lvl w:ilvl="2" w:tplc="681A3218" w:tentative="1">
      <w:start w:val="1"/>
      <w:numFmt w:val="bullet"/>
      <w:lvlText w:val=""/>
      <w:lvlJc w:val="left"/>
      <w:pPr>
        <w:tabs>
          <w:tab w:val="num" w:pos="2160"/>
        </w:tabs>
        <w:ind w:left="2160" w:hanging="360"/>
      </w:pPr>
      <w:rPr>
        <w:rFonts w:ascii="Wingdings" w:hAnsi="Wingdings" w:hint="default"/>
      </w:rPr>
    </w:lvl>
    <w:lvl w:ilvl="3" w:tplc="518497FC" w:tentative="1">
      <w:start w:val="1"/>
      <w:numFmt w:val="bullet"/>
      <w:lvlText w:val=""/>
      <w:lvlJc w:val="left"/>
      <w:pPr>
        <w:tabs>
          <w:tab w:val="num" w:pos="2880"/>
        </w:tabs>
        <w:ind w:left="2880" w:hanging="360"/>
      </w:pPr>
      <w:rPr>
        <w:rFonts w:ascii="Wingdings" w:hAnsi="Wingdings" w:hint="default"/>
      </w:rPr>
    </w:lvl>
    <w:lvl w:ilvl="4" w:tplc="04C665D8" w:tentative="1">
      <w:start w:val="1"/>
      <w:numFmt w:val="bullet"/>
      <w:lvlText w:val=""/>
      <w:lvlJc w:val="left"/>
      <w:pPr>
        <w:tabs>
          <w:tab w:val="num" w:pos="3600"/>
        </w:tabs>
        <w:ind w:left="3600" w:hanging="360"/>
      </w:pPr>
      <w:rPr>
        <w:rFonts w:ascii="Wingdings" w:hAnsi="Wingdings" w:hint="default"/>
      </w:rPr>
    </w:lvl>
    <w:lvl w:ilvl="5" w:tplc="9BF20C8C" w:tentative="1">
      <w:start w:val="1"/>
      <w:numFmt w:val="bullet"/>
      <w:lvlText w:val=""/>
      <w:lvlJc w:val="left"/>
      <w:pPr>
        <w:tabs>
          <w:tab w:val="num" w:pos="4320"/>
        </w:tabs>
        <w:ind w:left="4320" w:hanging="360"/>
      </w:pPr>
      <w:rPr>
        <w:rFonts w:ascii="Wingdings" w:hAnsi="Wingdings" w:hint="default"/>
      </w:rPr>
    </w:lvl>
    <w:lvl w:ilvl="6" w:tplc="A6385EAC" w:tentative="1">
      <w:start w:val="1"/>
      <w:numFmt w:val="bullet"/>
      <w:lvlText w:val=""/>
      <w:lvlJc w:val="left"/>
      <w:pPr>
        <w:tabs>
          <w:tab w:val="num" w:pos="5040"/>
        </w:tabs>
        <w:ind w:left="5040" w:hanging="360"/>
      </w:pPr>
      <w:rPr>
        <w:rFonts w:ascii="Wingdings" w:hAnsi="Wingdings" w:hint="default"/>
      </w:rPr>
    </w:lvl>
    <w:lvl w:ilvl="7" w:tplc="43FCA6E6" w:tentative="1">
      <w:start w:val="1"/>
      <w:numFmt w:val="bullet"/>
      <w:lvlText w:val=""/>
      <w:lvlJc w:val="left"/>
      <w:pPr>
        <w:tabs>
          <w:tab w:val="num" w:pos="5760"/>
        </w:tabs>
        <w:ind w:left="5760" w:hanging="360"/>
      </w:pPr>
      <w:rPr>
        <w:rFonts w:ascii="Wingdings" w:hAnsi="Wingdings" w:hint="default"/>
      </w:rPr>
    </w:lvl>
    <w:lvl w:ilvl="8" w:tplc="6868C7E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552253"/>
    <w:multiLevelType w:val="multilevel"/>
    <w:tmpl w:val="F676BCC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FCB0FB0"/>
    <w:multiLevelType w:val="multilevel"/>
    <w:tmpl w:val="32ECEBB6"/>
    <w:lvl w:ilvl="0">
      <w:start w:val="1"/>
      <w:numFmt w:val="upperRoman"/>
      <w:lvlText w:val="%1."/>
      <w:lvlJc w:val="left"/>
      <w:pPr>
        <w:ind w:left="1080" w:hanging="720"/>
      </w:pPr>
      <w:rPr>
        <w:rFonts w:hint="default"/>
        <w:color w:val="4472C4" w:themeColor="accen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0A54671"/>
    <w:multiLevelType w:val="hybridMultilevel"/>
    <w:tmpl w:val="2C38EDBE"/>
    <w:lvl w:ilvl="0" w:tplc="35AC80DA">
      <w:start w:val="1"/>
      <w:numFmt w:val="bullet"/>
      <w:lvlText w:val="•"/>
      <w:lvlJc w:val="left"/>
      <w:pPr>
        <w:tabs>
          <w:tab w:val="num" w:pos="720"/>
        </w:tabs>
        <w:ind w:left="720" w:hanging="360"/>
      </w:pPr>
      <w:rPr>
        <w:rFonts w:ascii="Arial" w:hAnsi="Arial" w:hint="default"/>
      </w:rPr>
    </w:lvl>
    <w:lvl w:ilvl="1" w:tplc="A01E1882" w:tentative="1">
      <w:start w:val="1"/>
      <w:numFmt w:val="bullet"/>
      <w:lvlText w:val="•"/>
      <w:lvlJc w:val="left"/>
      <w:pPr>
        <w:tabs>
          <w:tab w:val="num" w:pos="1440"/>
        </w:tabs>
        <w:ind w:left="1440" w:hanging="360"/>
      </w:pPr>
      <w:rPr>
        <w:rFonts w:ascii="Arial" w:hAnsi="Arial" w:hint="default"/>
      </w:rPr>
    </w:lvl>
    <w:lvl w:ilvl="2" w:tplc="8EFCC498" w:tentative="1">
      <w:start w:val="1"/>
      <w:numFmt w:val="bullet"/>
      <w:lvlText w:val="•"/>
      <w:lvlJc w:val="left"/>
      <w:pPr>
        <w:tabs>
          <w:tab w:val="num" w:pos="2160"/>
        </w:tabs>
        <w:ind w:left="2160" w:hanging="360"/>
      </w:pPr>
      <w:rPr>
        <w:rFonts w:ascii="Arial" w:hAnsi="Arial" w:hint="default"/>
      </w:rPr>
    </w:lvl>
    <w:lvl w:ilvl="3" w:tplc="7DFCA166" w:tentative="1">
      <w:start w:val="1"/>
      <w:numFmt w:val="bullet"/>
      <w:lvlText w:val="•"/>
      <w:lvlJc w:val="left"/>
      <w:pPr>
        <w:tabs>
          <w:tab w:val="num" w:pos="2880"/>
        </w:tabs>
        <w:ind w:left="2880" w:hanging="360"/>
      </w:pPr>
      <w:rPr>
        <w:rFonts w:ascii="Arial" w:hAnsi="Arial" w:hint="default"/>
      </w:rPr>
    </w:lvl>
    <w:lvl w:ilvl="4" w:tplc="2CCE6354" w:tentative="1">
      <w:start w:val="1"/>
      <w:numFmt w:val="bullet"/>
      <w:lvlText w:val="•"/>
      <w:lvlJc w:val="left"/>
      <w:pPr>
        <w:tabs>
          <w:tab w:val="num" w:pos="3600"/>
        </w:tabs>
        <w:ind w:left="3600" w:hanging="360"/>
      </w:pPr>
      <w:rPr>
        <w:rFonts w:ascii="Arial" w:hAnsi="Arial" w:hint="default"/>
      </w:rPr>
    </w:lvl>
    <w:lvl w:ilvl="5" w:tplc="2C120498" w:tentative="1">
      <w:start w:val="1"/>
      <w:numFmt w:val="bullet"/>
      <w:lvlText w:val="•"/>
      <w:lvlJc w:val="left"/>
      <w:pPr>
        <w:tabs>
          <w:tab w:val="num" w:pos="4320"/>
        </w:tabs>
        <w:ind w:left="4320" w:hanging="360"/>
      </w:pPr>
      <w:rPr>
        <w:rFonts w:ascii="Arial" w:hAnsi="Arial" w:hint="default"/>
      </w:rPr>
    </w:lvl>
    <w:lvl w:ilvl="6" w:tplc="94BC5F92" w:tentative="1">
      <w:start w:val="1"/>
      <w:numFmt w:val="bullet"/>
      <w:lvlText w:val="•"/>
      <w:lvlJc w:val="left"/>
      <w:pPr>
        <w:tabs>
          <w:tab w:val="num" w:pos="5040"/>
        </w:tabs>
        <w:ind w:left="5040" w:hanging="360"/>
      </w:pPr>
      <w:rPr>
        <w:rFonts w:ascii="Arial" w:hAnsi="Arial" w:hint="default"/>
      </w:rPr>
    </w:lvl>
    <w:lvl w:ilvl="7" w:tplc="FB2C7E70" w:tentative="1">
      <w:start w:val="1"/>
      <w:numFmt w:val="bullet"/>
      <w:lvlText w:val="•"/>
      <w:lvlJc w:val="left"/>
      <w:pPr>
        <w:tabs>
          <w:tab w:val="num" w:pos="5760"/>
        </w:tabs>
        <w:ind w:left="5760" w:hanging="360"/>
      </w:pPr>
      <w:rPr>
        <w:rFonts w:ascii="Arial" w:hAnsi="Arial" w:hint="default"/>
      </w:rPr>
    </w:lvl>
    <w:lvl w:ilvl="8" w:tplc="188033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137128B"/>
    <w:multiLevelType w:val="multilevel"/>
    <w:tmpl w:val="1B5E6B3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1DC4D08"/>
    <w:multiLevelType w:val="multilevel"/>
    <w:tmpl w:val="DCFE815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6EE5AC8"/>
    <w:multiLevelType w:val="multilevel"/>
    <w:tmpl w:val="C366B01A"/>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0B27B88"/>
    <w:multiLevelType w:val="hybridMultilevel"/>
    <w:tmpl w:val="365CE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42D1A"/>
    <w:multiLevelType w:val="multilevel"/>
    <w:tmpl w:val="F5DC99E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CF14F38"/>
    <w:multiLevelType w:val="hybridMultilevel"/>
    <w:tmpl w:val="95C2AECC"/>
    <w:lvl w:ilvl="0" w:tplc="55D2E1BC">
      <w:start w:val="1"/>
      <w:numFmt w:val="decimal"/>
      <w:lvlText w:val="%1."/>
      <w:lvlJc w:val="left"/>
      <w:pPr>
        <w:tabs>
          <w:tab w:val="num" w:pos="720"/>
        </w:tabs>
        <w:ind w:left="720" w:hanging="360"/>
      </w:pPr>
    </w:lvl>
    <w:lvl w:ilvl="1" w:tplc="AB52E9A6" w:tentative="1">
      <w:start w:val="1"/>
      <w:numFmt w:val="decimal"/>
      <w:lvlText w:val="%2."/>
      <w:lvlJc w:val="left"/>
      <w:pPr>
        <w:tabs>
          <w:tab w:val="num" w:pos="1440"/>
        </w:tabs>
        <w:ind w:left="1440" w:hanging="360"/>
      </w:pPr>
    </w:lvl>
    <w:lvl w:ilvl="2" w:tplc="2CFC4306" w:tentative="1">
      <w:start w:val="1"/>
      <w:numFmt w:val="decimal"/>
      <w:lvlText w:val="%3."/>
      <w:lvlJc w:val="left"/>
      <w:pPr>
        <w:tabs>
          <w:tab w:val="num" w:pos="2160"/>
        </w:tabs>
        <w:ind w:left="2160" w:hanging="360"/>
      </w:pPr>
    </w:lvl>
    <w:lvl w:ilvl="3" w:tplc="BE4CF948" w:tentative="1">
      <w:start w:val="1"/>
      <w:numFmt w:val="decimal"/>
      <w:lvlText w:val="%4."/>
      <w:lvlJc w:val="left"/>
      <w:pPr>
        <w:tabs>
          <w:tab w:val="num" w:pos="2880"/>
        </w:tabs>
        <w:ind w:left="2880" w:hanging="360"/>
      </w:pPr>
    </w:lvl>
    <w:lvl w:ilvl="4" w:tplc="F8E294F4" w:tentative="1">
      <w:start w:val="1"/>
      <w:numFmt w:val="decimal"/>
      <w:lvlText w:val="%5."/>
      <w:lvlJc w:val="left"/>
      <w:pPr>
        <w:tabs>
          <w:tab w:val="num" w:pos="3600"/>
        </w:tabs>
        <w:ind w:left="3600" w:hanging="360"/>
      </w:pPr>
    </w:lvl>
    <w:lvl w:ilvl="5" w:tplc="0298F286" w:tentative="1">
      <w:start w:val="1"/>
      <w:numFmt w:val="decimal"/>
      <w:lvlText w:val="%6."/>
      <w:lvlJc w:val="left"/>
      <w:pPr>
        <w:tabs>
          <w:tab w:val="num" w:pos="4320"/>
        </w:tabs>
        <w:ind w:left="4320" w:hanging="360"/>
      </w:pPr>
    </w:lvl>
    <w:lvl w:ilvl="6" w:tplc="97808688" w:tentative="1">
      <w:start w:val="1"/>
      <w:numFmt w:val="decimal"/>
      <w:lvlText w:val="%7."/>
      <w:lvlJc w:val="left"/>
      <w:pPr>
        <w:tabs>
          <w:tab w:val="num" w:pos="5040"/>
        </w:tabs>
        <w:ind w:left="5040" w:hanging="360"/>
      </w:pPr>
    </w:lvl>
    <w:lvl w:ilvl="7" w:tplc="76481448" w:tentative="1">
      <w:start w:val="1"/>
      <w:numFmt w:val="decimal"/>
      <w:lvlText w:val="%8."/>
      <w:lvlJc w:val="left"/>
      <w:pPr>
        <w:tabs>
          <w:tab w:val="num" w:pos="5760"/>
        </w:tabs>
        <w:ind w:left="5760" w:hanging="360"/>
      </w:pPr>
    </w:lvl>
    <w:lvl w:ilvl="8" w:tplc="4E86BD7E" w:tentative="1">
      <w:start w:val="1"/>
      <w:numFmt w:val="decimal"/>
      <w:lvlText w:val="%9."/>
      <w:lvlJc w:val="left"/>
      <w:pPr>
        <w:tabs>
          <w:tab w:val="num" w:pos="6480"/>
        </w:tabs>
        <w:ind w:left="6480" w:hanging="360"/>
      </w:pPr>
    </w:lvl>
  </w:abstractNum>
  <w:abstractNum w:abstractNumId="19" w15:restartNumberingAfterBreak="0">
    <w:nsid w:val="6286729B"/>
    <w:multiLevelType w:val="hybridMultilevel"/>
    <w:tmpl w:val="DB2821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DC65A3"/>
    <w:multiLevelType w:val="hybridMultilevel"/>
    <w:tmpl w:val="6B1EFA46"/>
    <w:lvl w:ilvl="0" w:tplc="6F0C7A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F01EE5"/>
    <w:multiLevelType w:val="hybridMultilevel"/>
    <w:tmpl w:val="53F2E1A6"/>
    <w:lvl w:ilvl="0" w:tplc="A5CCF2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CC0CE5"/>
    <w:multiLevelType w:val="multilevel"/>
    <w:tmpl w:val="A5CE7598"/>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2"/>
  </w:num>
  <w:num w:numId="3">
    <w:abstractNumId w:val="4"/>
  </w:num>
  <w:num w:numId="4">
    <w:abstractNumId w:val="11"/>
  </w:num>
  <w:num w:numId="5">
    <w:abstractNumId w:val="6"/>
  </w:num>
  <w:num w:numId="6">
    <w:abstractNumId w:val="19"/>
  </w:num>
  <w:num w:numId="7">
    <w:abstractNumId w:val="7"/>
  </w:num>
  <w:num w:numId="8">
    <w:abstractNumId w:val="5"/>
  </w:num>
  <w:num w:numId="9">
    <w:abstractNumId w:val="3"/>
  </w:num>
  <w:num w:numId="10">
    <w:abstractNumId w:val="17"/>
  </w:num>
  <w:num w:numId="11">
    <w:abstractNumId w:val="16"/>
  </w:num>
  <w:num w:numId="12">
    <w:abstractNumId w:val="2"/>
  </w:num>
  <w:num w:numId="13">
    <w:abstractNumId w:val="20"/>
  </w:num>
  <w:num w:numId="14">
    <w:abstractNumId w:val="21"/>
  </w:num>
  <w:num w:numId="15">
    <w:abstractNumId w:val="18"/>
  </w:num>
  <w:num w:numId="16">
    <w:abstractNumId w:val="9"/>
  </w:num>
  <w:num w:numId="17">
    <w:abstractNumId w:val="10"/>
  </w:num>
  <w:num w:numId="18">
    <w:abstractNumId w:val="1"/>
  </w:num>
  <w:num w:numId="19">
    <w:abstractNumId w:val="0"/>
  </w:num>
  <w:num w:numId="20">
    <w:abstractNumId w:val="14"/>
  </w:num>
  <w:num w:numId="21">
    <w:abstractNumId w:val="13"/>
  </w:num>
  <w:num w:numId="22">
    <w:abstractNumId w:val="1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ADD"/>
    <w:rsid w:val="00001384"/>
    <w:rsid w:val="000020E9"/>
    <w:rsid w:val="00002747"/>
    <w:rsid w:val="00004E82"/>
    <w:rsid w:val="00005690"/>
    <w:rsid w:val="000070CF"/>
    <w:rsid w:val="00010BBB"/>
    <w:rsid w:val="00011682"/>
    <w:rsid w:val="0001183B"/>
    <w:rsid w:val="00012BFA"/>
    <w:rsid w:val="00012CE2"/>
    <w:rsid w:val="00014AAB"/>
    <w:rsid w:val="00015346"/>
    <w:rsid w:val="000155FD"/>
    <w:rsid w:val="000161AE"/>
    <w:rsid w:val="0001685E"/>
    <w:rsid w:val="00021DB1"/>
    <w:rsid w:val="00024076"/>
    <w:rsid w:val="00026576"/>
    <w:rsid w:val="00026F42"/>
    <w:rsid w:val="00030156"/>
    <w:rsid w:val="00031DC1"/>
    <w:rsid w:val="000331CD"/>
    <w:rsid w:val="00035891"/>
    <w:rsid w:val="00036FA9"/>
    <w:rsid w:val="00041342"/>
    <w:rsid w:val="00043DA6"/>
    <w:rsid w:val="000442A7"/>
    <w:rsid w:val="00044B7F"/>
    <w:rsid w:val="00051965"/>
    <w:rsid w:val="00052464"/>
    <w:rsid w:val="00052C42"/>
    <w:rsid w:val="00053800"/>
    <w:rsid w:val="00056158"/>
    <w:rsid w:val="0006021C"/>
    <w:rsid w:val="00060BE2"/>
    <w:rsid w:val="00064D1B"/>
    <w:rsid w:val="000650A2"/>
    <w:rsid w:val="000665D5"/>
    <w:rsid w:val="00066865"/>
    <w:rsid w:val="00070A3E"/>
    <w:rsid w:val="00070EB5"/>
    <w:rsid w:val="000710CD"/>
    <w:rsid w:val="0007204F"/>
    <w:rsid w:val="0007212C"/>
    <w:rsid w:val="000737FB"/>
    <w:rsid w:val="00074A19"/>
    <w:rsid w:val="000752B8"/>
    <w:rsid w:val="000808EA"/>
    <w:rsid w:val="00082451"/>
    <w:rsid w:val="00083590"/>
    <w:rsid w:val="00085DC0"/>
    <w:rsid w:val="00086A13"/>
    <w:rsid w:val="00087EA4"/>
    <w:rsid w:val="000955A0"/>
    <w:rsid w:val="00097675"/>
    <w:rsid w:val="00097D6E"/>
    <w:rsid w:val="000A0D1F"/>
    <w:rsid w:val="000A22DC"/>
    <w:rsid w:val="000A41E9"/>
    <w:rsid w:val="000A4253"/>
    <w:rsid w:val="000B0AC1"/>
    <w:rsid w:val="000B2B7B"/>
    <w:rsid w:val="000B3195"/>
    <w:rsid w:val="000B33B1"/>
    <w:rsid w:val="000B40CB"/>
    <w:rsid w:val="000C017D"/>
    <w:rsid w:val="000C038A"/>
    <w:rsid w:val="000C4424"/>
    <w:rsid w:val="000C51A6"/>
    <w:rsid w:val="000C61AA"/>
    <w:rsid w:val="000C6553"/>
    <w:rsid w:val="000C7754"/>
    <w:rsid w:val="000D2A89"/>
    <w:rsid w:val="000D34AD"/>
    <w:rsid w:val="000D3C93"/>
    <w:rsid w:val="000D56CA"/>
    <w:rsid w:val="000D7760"/>
    <w:rsid w:val="000D7992"/>
    <w:rsid w:val="000E1657"/>
    <w:rsid w:val="000E1A39"/>
    <w:rsid w:val="000E263D"/>
    <w:rsid w:val="000E29FD"/>
    <w:rsid w:val="000E47C6"/>
    <w:rsid w:val="000E5297"/>
    <w:rsid w:val="000E5A08"/>
    <w:rsid w:val="000E5BAD"/>
    <w:rsid w:val="000E6E62"/>
    <w:rsid w:val="000F03AD"/>
    <w:rsid w:val="000F045C"/>
    <w:rsid w:val="000F0A59"/>
    <w:rsid w:val="000F25E7"/>
    <w:rsid w:val="000F2D8C"/>
    <w:rsid w:val="000F49F0"/>
    <w:rsid w:val="000F4DC3"/>
    <w:rsid w:val="000F4F5C"/>
    <w:rsid w:val="000F5472"/>
    <w:rsid w:val="000F5B2F"/>
    <w:rsid w:val="000F6636"/>
    <w:rsid w:val="000F68A7"/>
    <w:rsid w:val="000F7BA4"/>
    <w:rsid w:val="00100101"/>
    <w:rsid w:val="00101361"/>
    <w:rsid w:val="00101A71"/>
    <w:rsid w:val="001023F8"/>
    <w:rsid w:val="0010289E"/>
    <w:rsid w:val="001042BD"/>
    <w:rsid w:val="0010520C"/>
    <w:rsid w:val="001058F8"/>
    <w:rsid w:val="00105E6C"/>
    <w:rsid w:val="00106F91"/>
    <w:rsid w:val="00107327"/>
    <w:rsid w:val="00107AF8"/>
    <w:rsid w:val="001101A2"/>
    <w:rsid w:val="00111325"/>
    <w:rsid w:val="00112400"/>
    <w:rsid w:val="00114DC3"/>
    <w:rsid w:val="00115B52"/>
    <w:rsid w:val="00123AC7"/>
    <w:rsid w:val="00125DFB"/>
    <w:rsid w:val="001269BB"/>
    <w:rsid w:val="00126A14"/>
    <w:rsid w:val="001272D2"/>
    <w:rsid w:val="00131D91"/>
    <w:rsid w:val="00131F12"/>
    <w:rsid w:val="001329B3"/>
    <w:rsid w:val="00134513"/>
    <w:rsid w:val="00134547"/>
    <w:rsid w:val="0014039C"/>
    <w:rsid w:val="00141D05"/>
    <w:rsid w:val="00145DCA"/>
    <w:rsid w:val="0015054C"/>
    <w:rsid w:val="00154901"/>
    <w:rsid w:val="00156F88"/>
    <w:rsid w:val="00164C37"/>
    <w:rsid w:val="00165153"/>
    <w:rsid w:val="0017075E"/>
    <w:rsid w:val="001717B6"/>
    <w:rsid w:val="0017202F"/>
    <w:rsid w:val="001727D6"/>
    <w:rsid w:val="0017378F"/>
    <w:rsid w:val="00175F21"/>
    <w:rsid w:val="00176AB7"/>
    <w:rsid w:val="00176F82"/>
    <w:rsid w:val="00177FCA"/>
    <w:rsid w:val="001806B4"/>
    <w:rsid w:val="00181160"/>
    <w:rsid w:val="00182442"/>
    <w:rsid w:val="00185259"/>
    <w:rsid w:val="00185353"/>
    <w:rsid w:val="00187195"/>
    <w:rsid w:val="0019147A"/>
    <w:rsid w:val="0019196E"/>
    <w:rsid w:val="00192827"/>
    <w:rsid w:val="00193390"/>
    <w:rsid w:val="001941D4"/>
    <w:rsid w:val="00195DFF"/>
    <w:rsid w:val="00196E4A"/>
    <w:rsid w:val="001A04E0"/>
    <w:rsid w:val="001A2A0F"/>
    <w:rsid w:val="001A3096"/>
    <w:rsid w:val="001A42B2"/>
    <w:rsid w:val="001A5287"/>
    <w:rsid w:val="001A5FA7"/>
    <w:rsid w:val="001A76D6"/>
    <w:rsid w:val="001B0BC7"/>
    <w:rsid w:val="001B1E59"/>
    <w:rsid w:val="001B21E5"/>
    <w:rsid w:val="001B4322"/>
    <w:rsid w:val="001B5123"/>
    <w:rsid w:val="001B63F3"/>
    <w:rsid w:val="001B7A1A"/>
    <w:rsid w:val="001C043E"/>
    <w:rsid w:val="001C0633"/>
    <w:rsid w:val="001C0F90"/>
    <w:rsid w:val="001C3084"/>
    <w:rsid w:val="001C381E"/>
    <w:rsid w:val="001C4946"/>
    <w:rsid w:val="001C5193"/>
    <w:rsid w:val="001C54A4"/>
    <w:rsid w:val="001C7CF9"/>
    <w:rsid w:val="001D00E3"/>
    <w:rsid w:val="001D0D23"/>
    <w:rsid w:val="001D193A"/>
    <w:rsid w:val="001D1D23"/>
    <w:rsid w:val="001D3E98"/>
    <w:rsid w:val="001D582A"/>
    <w:rsid w:val="001D6ED2"/>
    <w:rsid w:val="001D79BC"/>
    <w:rsid w:val="001E0E8C"/>
    <w:rsid w:val="001E39FA"/>
    <w:rsid w:val="001E4E8A"/>
    <w:rsid w:val="001E5BEC"/>
    <w:rsid w:val="001E600A"/>
    <w:rsid w:val="001E7F67"/>
    <w:rsid w:val="001F0DB3"/>
    <w:rsid w:val="001F143C"/>
    <w:rsid w:val="001F1D7E"/>
    <w:rsid w:val="001F7734"/>
    <w:rsid w:val="00200924"/>
    <w:rsid w:val="00201005"/>
    <w:rsid w:val="002010A0"/>
    <w:rsid w:val="00201725"/>
    <w:rsid w:val="00202092"/>
    <w:rsid w:val="002040A6"/>
    <w:rsid w:val="00204704"/>
    <w:rsid w:val="00210B39"/>
    <w:rsid w:val="002118D1"/>
    <w:rsid w:val="00211BF9"/>
    <w:rsid w:val="00214582"/>
    <w:rsid w:val="00214677"/>
    <w:rsid w:val="0021677F"/>
    <w:rsid w:val="00220674"/>
    <w:rsid w:val="002208F4"/>
    <w:rsid w:val="00220BCC"/>
    <w:rsid w:val="002231EC"/>
    <w:rsid w:val="00223617"/>
    <w:rsid w:val="0022445D"/>
    <w:rsid w:val="002258AE"/>
    <w:rsid w:val="00226709"/>
    <w:rsid w:val="00226ABF"/>
    <w:rsid w:val="00227D61"/>
    <w:rsid w:val="00230635"/>
    <w:rsid w:val="00230B49"/>
    <w:rsid w:val="0023142B"/>
    <w:rsid w:val="00236528"/>
    <w:rsid w:val="002405B7"/>
    <w:rsid w:val="002406B3"/>
    <w:rsid w:val="0024323A"/>
    <w:rsid w:val="00244BB1"/>
    <w:rsid w:val="00245698"/>
    <w:rsid w:val="0024608F"/>
    <w:rsid w:val="00246226"/>
    <w:rsid w:val="00247FB3"/>
    <w:rsid w:val="00250A86"/>
    <w:rsid w:val="0025154B"/>
    <w:rsid w:val="002517CB"/>
    <w:rsid w:val="00253744"/>
    <w:rsid w:val="00253E36"/>
    <w:rsid w:val="002541B5"/>
    <w:rsid w:val="00254CED"/>
    <w:rsid w:val="00256393"/>
    <w:rsid w:val="00260733"/>
    <w:rsid w:val="00263091"/>
    <w:rsid w:val="002646CF"/>
    <w:rsid w:val="00265AA7"/>
    <w:rsid w:val="0026692F"/>
    <w:rsid w:val="00266A16"/>
    <w:rsid w:val="00267289"/>
    <w:rsid w:val="002676EC"/>
    <w:rsid w:val="00271216"/>
    <w:rsid w:val="00271374"/>
    <w:rsid w:val="00271DE9"/>
    <w:rsid w:val="0027496C"/>
    <w:rsid w:val="00276798"/>
    <w:rsid w:val="002801B6"/>
    <w:rsid w:val="0028296B"/>
    <w:rsid w:val="00283B43"/>
    <w:rsid w:val="002849A5"/>
    <w:rsid w:val="00284C49"/>
    <w:rsid w:val="0028656B"/>
    <w:rsid w:val="00291CD0"/>
    <w:rsid w:val="00291E5C"/>
    <w:rsid w:val="0029245B"/>
    <w:rsid w:val="002954D6"/>
    <w:rsid w:val="00296869"/>
    <w:rsid w:val="002A006E"/>
    <w:rsid w:val="002A2ADB"/>
    <w:rsid w:val="002A2B14"/>
    <w:rsid w:val="002A2EE5"/>
    <w:rsid w:val="002A4D67"/>
    <w:rsid w:val="002A547A"/>
    <w:rsid w:val="002A6038"/>
    <w:rsid w:val="002A74EC"/>
    <w:rsid w:val="002A75FC"/>
    <w:rsid w:val="002A7796"/>
    <w:rsid w:val="002B020D"/>
    <w:rsid w:val="002B212E"/>
    <w:rsid w:val="002B4B96"/>
    <w:rsid w:val="002B4EFD"/>
    <w:rsid w:val="002B53CA"/>
    <w:rsid w:val="002B61D2"/>
    <w:rsid w:val="002C0EE9"/>
    <w:rsid w:val="002C31F0"/>
    <w:rsid w:val="002C3ECE"/>
    <w:rsid w:val="002C3FEF"/>
    <w:rsid w:val="002C44F1"/>
    <w:rsid w:val="002C4C5A"/>
    <w:rsid w:val="002C5A0A"/>
    <w:rsid w:val="002C751E"/>
    <w:rsid w:val="002C7966"/>
    <w:rsid w:val="002C7CCD"/>
    <w:rsid w:val="002D1550"/>
    <w:rsid w:val="002D1E10"/>
    <w:rsid w:val="002D287F"/>
    <w:rsid w:val="002D34E5"/>
    <w:rsid w:val="002D37BA"/>
    <w:rsid w:val="002D5ADD"/>
    <w:rsid w:val="002D7442"/>
    <w:rsid w:val="002D79A9"/>
    <w:rsid w:val="002E09D1"/>
    <w:rsid w:val="002E29E1"/>
    <w:rsid w:val="002E6038"/>
    <w:rsid w:val="002F1681"/>
    <w:rsid w:val="002F281D"/>
    <w:rsid w:val="002F2973"/>
    <w:rsid w:val="002F39DB"/>
    <w:rsid w:val="002F42EE"/>
    <w:rsid w:val="002F46A5"/>
    <w:rsid w:val="002F4A60"/>
    <w:rsid w:val="002F5000"/>
    <w:rsid w:val="002F7F9B"/>
    <w:rsid w:val="00300551"/>
    <w:rsid w:val="003008BA"/>
    <w:rsid w:val="0030146E"/>
    <w:rsid w:val="00305F3A"/>
    <w:rsid w:val="00306313"/>
    <w:rsid w:val="003157D2"/>
    <w:rsid w:val="003161B4"/>
    <w:rsid w:val="00316840"/>
    <w:rsid w:val="00317235"/>
    <w:rsid w:val="003201C1"/>
    <w:rsid w:val="0032081D"/>
    <w:rsid w:val="00320C2D"/>
    <w:rsid w:val="00323210"/>
    <w:rsid w:val="003233B1"/>
    <w:rsid w:val="00325D53"/>
    <w:rsid w:val="00325DB6"/>
    <w:rsid w:val="00327AFA"/>
    <w:rsid w:val="00330E07"/>
    <w:rsid w:val="003368BC"/>
    <w:rsid w:val="00337073"/>
    <w:rsid w:val="003374C1"/>
    <w:rsid w:val="00340C25"/>
    <w:rsid w:val="00340FEE"/>
    <w:rsid w:val="00341202"/>
    <w:rsid w:val="003417BC"/>
    <w:rsid w:val="00344330"/>
    <w:rsid w:val="00344341"/>
    <w:rsid w:val="00345910"/>
    <w:rsid w:val="0035238D"/>
    <w:rsid w:val="003525B2"/>
    <w:rsid w:val="00353BF3"/>
    <w:rsid w:val="00354DFA"/>
    <w:rsid w:val="00355C8F"/>
    <w:rsid w:val="00356140"/>
    <w:rsid w:val="003564BA"/>
    <w:rsid w:val="00356865"/>
    <w:rsid w:val="00357EB0"/>
    <w:rsid w:val="0036094C"/>
    <w:rsid w:val="003612F3"/>
    <w:rsid w:val="0036145C"/>
    <w:rsid w:val="00361E52"/>
    <w:rsid w:val="00364E42"/>
    <w:rsid w:val="00366D65"/>
    <w:rsid w:val="0037359D"/>
    <w:rsid w:val="00373B8F"/>
    <w:rsid w:val="00376045"/>
    <w:rsid w:val="003770EC"/>
    <w:rsid w:val="00377562"/>
    <w:rsid w:val="00377A94"/>
    <w:rsid w:val="00377C74"/>
    <w:rsid w:val="00380F12"/>
    <w:rsid w:val="003842F0"/>
    <w:rsid w:val="00384385"/>
    <w:rsid w:val="003844E9"/>
    <w:rsid w:val="00384949"/>
    <w:rsid w:val="00386CD0"/>
    <w:rsid w:val="00387B36"/>
    <w:rsid w:val="0039101E"/>
    <w:rsid w:val="00393213"/>
    <w:rsid w:val="00394228"/>
    <w:rsid w:val="003942AB"/>
    <w:rsid w:val="00395CA7"/>
    <w:rsid w:val="00396866"/>
    <w:rsid w:val="003973D7"/>
    <w:rsid w:val="003A0892"/>
    <w:rsid w:val="003A1455"/>
    <w:rsid w:val="003A1D3A"/>
    <w:rsid w:val="003A71D2"/>
    <w:rsid w:val="003A74DF"/>
    <w:rsid w:val="003A7DB7"/>
    <w:rsid w:val="003A7F45"/>
    <w:rsid w:val="003B0096"/>
    <w:rsid w:val="003B0364"/>
    <w:rsid w:val="003B08C7"/>
    <w:rsid w:val="003B0B4F"/>
    <w:rsid w:val="003B3C99"/>
    <w:rsid w:val="003B5337"/>
    <w:rsid w:val="003B5DAC"/>
    <w:rsid w:val="003C031E"/>
    <w:rsid w:val="003C07A1"/>
    <w:rsid w:val="003C0965"/>
    <w:rsid w:val="003C34B3"/>
    <w:rsid w:val="003C34D8"/>
    <w:rsid w:val="003C5155"/>
    <w:rsid w:val="003C59F8"/>
    <w:rsid w:val="003C603B"/>
    <w:rsid w:val="003C6065"/>
    <w:rsid w:val="003C6FAF"/>
    <w:rsid w:val="003D0AFF"/>
    <w:rsid w:val="003D0C75"/>
    <w:rsid w:val="003D1008"/>
    <w:rsid w:val="003D13F4"/>
    <w:rsid w:val="003D25D0"/>
    <w:rsid w:val="003D2E01"/>
    <w:rsid w:val="003D33BD"/>
    <w:rsid w:val="003D3792"/>
    <w:rsid w:val="003D5624"/>
    <w:rsid w:val="003D6197"/>
    <w:rsid w:val="003D729E"/>
    <w:rsid w:val="003D7D81"/>
    <w:rsid w:val="003E11FF"/>
    <w:rsid w:val="003E2A6C"/>
    <w:rsid w:val="003E6374"/>
    <w:rsid w:val="003F056C"/>
    <w:rsid w:val="003F1FBF"/>
    <w:rsid w:val="003F2B56"/>
    <w:rsid w:val="003F3310"/>
    <w:rsid w:val="003F33BF"/>
    <w:rsid w:val="003F3864"/>
    <w:rsid w:val="003F50FB"/>
    <w:rsid w:val="003F5130"/>
    <w:rsid w:val="00400F15"/>
    <w:rsid w:val="004012A1"/>
    <w:rsid w:val="004016C4"/>
    <w:rsid w:val="004020E9"/>
    <w:rsid w:val="0040442D"/>
    <w:rsid w:val="004044A7"/>
    <w:rsid w:val="00404995"/>
    <w:rsid w:val="00404E6D"/>
    <w:rsid w:val="004059D7"/>
    <w:rsid w:val="00406287"/>
    <w:rsid w:val="0040763B"/>
    <w:rsid w:val="00407D41"/>
    <w:rsid w:val="00410375"/>
    <w:rsid w:val="004146CA"/>
    <w:rsid w:val="004148FC"/>
    <w:rsid w:val="004203B7"/>
    <w:rsid w:val="00421952"/>
    <w:rsid w:val="0042243E"/>
    <w:rsid w:val="0042411A"/>
    <w:rsid w:val="00424AB8"/>
    <w:rsid w:val="00430F5E"/>
    <w:rsid w:val="004314F0"/>
    <w:rsid w:val="0043323D"/>
    <w:rsid w:val="00434C8E"/>
    <w:rsid w:val="00437EA8"/>
    <w:rsid w:val="004401AC"/>
    <w:rsid w:val="00440F0E"/>
    <w:rsid w:val="00442045"/>
    <w:rsid w:val="00442EFF"/>
    <w:rsid w:val="00443069"/>
    <w:rsid w:val="00444578"/>
    <w:rsid w:val="00444779"/>
    <w:rsid w:val="00444A7A"/>
    <w:rsid w:val="004453DE"/>
    <w:rsid w:val="00445F7F"/>
    <w:rsid w:val="00450E69"/>
    <w:rsid w:val="0045106A"/>
    <w:rsid w:val="00454A90"/>
    <w:rsid w:val="004553A8"/>
    <w:rsid w:val="00456780"/>
    <w:rsid w:val="0045763A"/>
    <w:rsid w:val="00462C46"/>
    <w:rsid w:val="004632D0"/>
    <w:rsid w:val="00464890"/>
    <w:rsid w:val="00467ECC"/>
    <w:rsid w:val="0047154F"/>
    <w:rsid w:val="00472CA1"/>
    <w:rsid w:val="00474471"/>
    <w:rsid w:val="00474BE7"/>
    <w:rsid w:val="00474F7C"/>
    <w:rsid w:val="00475112"/>
    <w:rsid w:val="00482B93"/>
    <w:rsid w:val="0048354E"/>
    <w:rsid w:val="0048611A"/>
    <w:rsid w:val="004929A2"/>
    <w:rsid w:val="00492A98"/>
    <w:rsid w:val="0049415A"/>
    <w:rsid w:val="0049743F"/>
    <w:rsid w:val="00497988"/>
    <w:rsid w:val="004A07F9"/>
    <w:rsid w:val="004A3305"/>
    <w:rsid w:val="004A3B3A"/>
    <w:rsid w:val="004A58A8"/>
    <w:rsid w:val="004A5B26"/>
    <w:rsid w:val="004A7818"/>
    <w:rsid w:val="004A7AB3"/>
    <w:rsid w:val="004B2CF1"/>
    <w:rsid w:val="004B3D1A"/>
    <w:rsid w:val="004B4661"/>
    <w:rsid w:val="004B5844"/>
    <w:rsid w:val="004B5D8E"/>
    <w:rsid w:val="004B64CA"/>
    <w:rsid w:val="004B69DA"/>
    <w:rsid w:val="004B7828"/>
    <w:rsid w:val="004C06E1"/>
    <w:rsid w:val="004C2882"/>
    <w:rsid w:val="004C2A32"/>
    <w:rsid w:val="004C32E4"/>
    <w:rsid w:val="004C335B"/>
    <w:rsid w:val="004C33F4"/>
    <w:rsid w:val="004C3512"/>
    <w:rsid w:val="004C36FE"/>
    <w:rsid w:val="004C3B3A"/>
    <w:rsid w:val="004C4FB2"/>
    <w:rsid w:val="004C53E0"/>
    <w:rsid w:val="004C79A9"/>
    <w:rsid w:val="004D09FE"/>
    <w:rsid w:val="004D0B11"/>
    <w:rsid w:val="004D11B1"/>
    <w:rsid w:val="004D1EBE"/>
    <w:rsid w:val="004D258E"/>
    <w:rsid w:val="004D3EDC"/>
    <w:rsid w:val="004D4738"/>
    <w:rsid w:val="004D6C01"/>
    <w:rsid w:val="004D6FB4"/>
    <w:rsid w:val="004E15F4"/>
    <w:rsid w:val="004F1800"/>
    <w:rsid w:val="004F1C42"/>
    <w:rsid w:val="004F288E"/>
    <w:rsid w:val="004F397F"/>
    <w:rsid w:val="004F3F57"/>
    <w:rsid w:val="004F57D0"/>
    <w:rsid w:val="004F586D"/>
    <w:rsid w:val="0050024B"/>
    <w:rsid w:val="00501272"/>
    <w:rsid w:val="005048BC"/>
    <w:rsid w:val="00506C5B"/>
    <w:rsid w:val="005101E2"/>
    <w:rsid w:val="0051046B"/>
    <w:rsid w:val="005113BE"/>
    <w:rsid w:val="0051313F"/>
    <w:rsid w:val="005137DE"/>
    <w:rsid w:val="0051394B"/>
    <w:rsid w:val="00515454"/>
    <w:rsid w:val="00515E0E"/>
    <w:rsid w:val="00520E18"/>
    <w:rsid w:val="005235A8"/>
    <w:rsid w:val="0052469D"/>
    <w:rsid w:val="005250B6"/>
    <w:rsid w:val="005265CC"/>
    <w:rsid w:val="005276C3"/>
    <w:rsid w:val="00532CA6"/>
    <w:rsid w:val="0053659C"/>
    <w:rsid w:val="00536B5F"/>
    <w:rsid w:val="00536EE0"/>
    <w:rsid w:val="00536FB0"/>
    <w:rsid w:val="00537F86"/>
    <w:rsid w:val="00545D7C"/>
    <w:rsid w:val="00553376"/>
    <w:rsid w:val="005537C3"/>
    <w:rsid w:val="00553B5B"/>
    <w:rsid w:val="0055771A"/>
    <w:rsid w:val="005577B2"/>
    <w:rsid w:val="00560A8F"/>
    <w:rsid w:val="0056230F"/>
    <w:rsid w:val="00562D9B"/>
    <w:rsid w:val="00562E9F"/>
    <w:rsid w:val="00563C78"/>
    <w:rsid w:val="005640AF"/>
    <w:rsid w:val="00564B48"/>
    <w:rsid w:val="0056617F"/>
    <w:rsid w:val="00566E92"/>
    <w:rsid w:val="005705AF"/>
    <w:rsid w:val="005727FB"/>
    <w:rsid w:val="005734CA"/>
    <w:rsid w:val="005762DF"/>
    <w:rsid w:val="00576AED"/>
    <w:rsid w:val="0057732C"/>
    <w:rsid w:val="00577506"/>
    <w:rsid w:val="00582EE2"/>
    <w:rsid w:val="00583F7F"/>
    <w:rsid w:val="00584EEE"/>
    <w:rsid w:val="0059013B"/>
    <w:rsid w:val="00590549"/>
    <w:rsid w:val="00590A0B"/>
    <w:rsid w:val="00594139"/>
    <w:rsid w:val="00594350"/>
    <w:rsid w:val="005944FB"/>
    <w:rsid w:val="00594C7C"/>
    <w:rsid w:val="00595945"/>
    <w:rsid w:val="00595BB7"/>
    <w:rsid w:val="00596939"/>
    <w:rsid w:val="005971E0"/>
    <w:rsid w:val="005A06F4"/>
    <w:rsid w:val="005A369F"/>
    <w:rsid w:val="005A48C3"/>
    <w:rsid w:val="005A5466"/>
    <w:rsid w:val="005A562B"/>
    <w:rsid w:val="005A6CA1"/>
    <w:rsid w:val="005B1B03"/>
    <w:rsid w:val="005B4AA7"/>
    <w:rsid w:val="005B5F7D"/>
    <w:rsid w:val="005B6BB5"/>
    <w:rsid w:val="005B709E"/>
    <w:rsid w:val="005C1B24"/>
    <w:rsid w:val="005C23E4"/>
    <w:rsid w:val="005C294A"/>
    <w:rsid w:val="005C416F"/>
    <w:rsid w:val="005C4375"/>
    <w:rsid w:val="005C45AA"/>
    <w:rsid w:val="005C5A31"/>
    <w:rsid w:val="005C68E9"/>
    <w:rsid w:val="005C7053"/>
    <w:rsid w:val="005D0DEA"/>
    <w:rsid w:val="005D2961"/>
    <w:rsid w:val="005D2C04"/>
    <w:rsid w:val="005D2DB5"/>
    <w:rsid w:val="005D334B"/>
    <w:rsid w:val="005D366B"/>
    <w:rsid w:val="005D4E3F"/>
    <w:rsid w:val="005D6B34"/>
    <w:rsid w:val="005D7229"/>
    <w:rsid w:val="005D79FC"/>
    <w:rsid w:val="005D7D07"/>
    <w:rsid w:val="005E02BE"/>
    <w:rsid w:val="005E06FE"/>
    <w:rsid w:val="005E340D"/>
    <w:rsid w:val="005E3696"/>
    <w:rsid w:val="005E3906"/>
    <w:rsid w:val="005E39B6"/>
    <w:rsid w:val="005E4B02"/>
    <w:rsid w:val="005F03B8"/>
    <w:rsid w:val="005F0F3F"/>
    <w:rsid w:val="005F16F3"/>
    <w:rsid w:val="005F298F"/>
    <w:rsid w:val="005F34C4"/>
    <w:rsid w:val="005F3703"/>
    <w:rsid w:val="005F3AC3"/>
    <w:rsid w:val="005F498A"/>
    <w:rsid w:val="005F635B"/>
    <w:rsid w:val="005F78FC"/>
    <w:rsid w:val="005F7F99"/>
    <w:rsid w:val="006013AE"/>
    <w:rsid w:val="00604444"/>
    <w:rsid w:val="00604C74"/>
    <w:rsid w:val="006059A4"/>
    <w:rsid w:val="006101F6"/>
    <w:rsid w:val="006120B2"/>
    <w:rsid w:val="00612EDB"/>
    <w:rsid w:val="00613836"/>
    <w:rsid w:val="0061428F"/>
    <w:rsid w:val="0061528D"/>
    <w:rsid w:val="00620A61"/>
    <w:rsid w:val="00620AE3"/>
    <w:rsid w:val="00620C97"/>
    <w:rsid w:val="00621050"/>
    <w:rsid w:val="0062112E"/>
    <w:rsid w:val="00621AC4"/>
    <w:rsid w:val="00621BA5"/>
    <w:rsid w:val="00621C8F"/>
    <w:rsid w:val="00622F08"/>
    <w:rsid w:val="006248EF"/>
    <w:rsid w:val="006253E9"/>
    <w:rsid w:val="00626848"/>
    <w:rsid w:val="00626EFE"/>
    <w:rsid w:val="00627AD0"/>
    <w:rsid w:val="00636F19"/>
    <w:rsid w:val="006411F1"/>
    <w:rsid w:val="00641899"/>
    <w:rsid w:val="00642B6F"/>
    <w:rsid w:val="0064465C"/>
    <w:rsid w:val="006449E9"/>
    <w:rsid w:val="00644C32"/>
    <w:rsid w:val="006451C6"/>
    <w:rsid w:val="0064746F"/>
    <w:rsid w:val="0065230F"/>
    <w:rsid w:val="00652A24"/>
    <w:rsid w:val="00656710"/>
    <w:rsid w:val="00657075"/>
    <w:rsid w:val="006617B2"/>
    <w:rsid w:val="00662FBF"/>
    <w:rsid w:val="00663145"/>
    <w:rsid w:val="006650C4"/>
    <w:rsid w:val="0066656C"/>
    <w:rsid w:val="00670DCE"/>
    <w:rsid w:val="006711E0"/>
    <w:rsid w:val="00671AC8"/>
    <w:rsid w:val="00671BF0"/>
    <w:rsid w:val="0067241D"/>
    <w:rsid w:val="00673A5C"/>
    <w:rsid w:val="00675464"/>
    <w:rsid w:val="006759B1"/>
    <w:rsid w:val="006767E3"/>
    <w:rsid w:val="00676EBA"/>
    <w:rsid w:val="00677947"/>
    <w:rsid w:val="0068161C"/>
    <w:rsid w:val="006816A2"/>
    <w:rsid w:val="00681D73"/>
    <w:rsid w:val="00687581"/>
    <w:rsid w:val="00694D29"/>
    <w:rsid w:val="00695708"/>
    <w:rsid w:val="00696904"/>
    <w:rsid w:val="00696B4B"/>
    <w:rsid w:val="00697A76"/>
    <w:rsid w:val="00697B43"/>
    <w:rsid w:val="00697C49"/>
    <w:rsid w:val="006A004A"/>
    <w:rsid w:val="006A1D4E"/>
    <w:rsid w:val="006A4770"/>
    <w:rsid w:val="006A4BD2"/>
    <w:rsid w:val="006A561D"/>
    <w:rsid w:val="006A745B"/>
    <w:rsid w:val="006A7D36"/>
    <w:rsid w:val="006B0701"/>
    <w:rsid w:val="006B1539"/>
    <w:rsid w:val="006B2B4C"/>
    <w:rsid w:val="006B3B7D"/>
    <w:rsid w:val="006B3D42"/>
    <w:rsid w:val="006B405C"/>
    <w:rsid w:val="006B7A3A"/>
    <w:rsid w:val="006C0CE7"/>
    <w:rsid w:val="006C196B"/>
    <w:rsid w:val="006C3DCC"/>
    <w:rsid w:val="006D182C"/>
    <w:rsid w:val="006D1BB6"/>
    <w:rsid w:val="006D2ADB"/>
    <w:rsid w:val="006D589B"/>
    <w:rsid w:val="006D7C08"/>
    <w:rsid w:val="006D7FBE"/>
    <w:rsid w:val="006E0C9B"/>
    <w:rsid w:val="006E1B75"/>
    <w:rsid w:val="006E357E"/>
    <w:rsid w:val="006E57F5"/>
    <w:rsid w:val="006E5EE3"/>
    <w:rsid w:val="006E717B"/>
    <w:rsid w:val="006E7530"/>
    <w:rsid w:val="006F2690"/>
    <w:rsid w:val="006F596A"/>
    <w:rsid w:val="006F6DCC"/>
    <w:rsid w:val="006F77C5"/>
    <w:rsid w:val="00701140"/>
    <w:rsid w:val="00701ACF"/>
    <w:rsid w:val="00702818"/>
    <w:rsid w:val="00702FCC"/>
    <w:rsid w:val="00703FAD"/>
    <w:rsid w:val="00704912"/>
    <w:rsid w:val="00705A1F"/>
    <w:rsid w:val="00707B82"/>
    <w:rsid w:val="007108FB"/>
    <w:rsid w:val="00711DAC"/>
    <w:rsid w:val="0071303D"/>
    <w:rsid w:val="0071312E"/>
    <w:rsid w:val="007137C4"/>
    <w:rsid w:val="00713B0C"/>
    <w:rsid w:val="007144CD"/>
    <w:rsid w:val="007151C5"/>
    <w:rsid w:val="00715944"/>
    <w:rsid w:val="007171BB"/>
    <w:rsid w:val="00717501"/>
    <w:rsid w:val="00717879"/>
    <w:rsid w:val="00720190"/>
    <w:rsid w:val="00726256"/>
    <w:rsid w:val="0072756D"/>
    <w:rsid w:val="00727C42"/>
    <w:rsid w:val="0073018C"/>
    <w:rsid w:val="00730440"/>
    <w:rsid w:val="007307C8"/>
    <w:rsid w:val="00730C5A"/>
    <w:rsid w:val="00731B79"/>
    <w:rsid w:val="00731C39"/>
    <w:rsid w:val="007352AF"/>
    <w:rsid w:val="007358FD"/>
    <w:rsid w:val="007457E9"/>
    <w:rsid w:val="007471FC"/>
    <w:rsid w:val="007478B5"/>
    <w:rsid w:val="00747FB9"/>
    <w:rsid w:val="00751F19"/>
    <w:rsid w:val="00754061"/>
    <w:rsid w:val="00754B57"/>
    <w:rsid w:val="0075527E"/>
    <w:rsid w:val="00756984"/>
    <w:rsid w:val="00757265"/>
    <w:rsid w:val="007603E6"/>
    <w:rsid w:val="00760BDE"/>
    <w:rsid w:val="00762F68"/>
    <w:rsid w:val="00763A4A"/>
    <w:rsid w:val="007646ED"/>
    <w:rsid w:val="00764D25"/>
    <w:rsid w:val="00764FF4"/>
    <w:rsid w:val="0076704D"/>
    <w:rsid w:val="007671B6"/>
    <w:rsid w:val="00771C7E"/>
    <w:rsid w:val="00772BA9"/>
    <w:rsid w:val="00774C39"/>
    <w:rsid w:val="007760C3"/>
    <w:rsid w:val="007824C7"/>
    <w:rsid w:val="0078608C"/>
    <w:rsid w:val="007867DE"/>
    <w:rsid w:val="00793650"/>
    <w:rsid w:val="00794999"/>
    <w:rsid w:val="00797195"/>
    <w:rsid w:val="007A0040"/>
    <w:rsid w:val="007A0CCB"/>
    <w:rsid w:val="007A69C8"/>
    <w:rsid w:val="007A6F20"/>
    <w:rsid w:val="007A72C1"/>
    <w:rsid w:val="007B0365"/>
    <w:rsid w:val="007B3B73"/>
    <w:rsid w:val="007B4994"/>
    <w:rsid w:val="007B61AE"/>
    <w:rsid w:val="007B67B0"/>
    <w:rsid w:val="007B6912"/>
    <w:rsid w:val="007C0BCA"/>
    <w:rsid w:val="007C36DE"/>
    <w:rsid w:val="007C3737"/>
    <w:rsid w:val="007C55CA"/>
    <w:rsid w:val="007C56C1"/>
    <w:rsid w:val="007C5B5D"/>
    <w:rsid w:val="007C5FD5"/>
    <w:rsid w:val="007C655C"/>
    <w:rsid w:val="007D02B2"/>
    <w:rsid w:val="007D1A57"/>
    <w:rsid w:val="007D1D15"/>
    <w:rsid w:val="007D2188"/>
    <w:rsid w:val="007D3127"/>
    <w:rsid w:val="007D35BA"/>
    <w:rsid w:val="007D4DAE"/>
    <w:rsid w:val="007D77D4"/>
    <w:rsid w:val="007E01F1"/>
    <w:rsid w:val="007E0619"/>
    <w:rsid w:val="007E0C77"/>
    <w:rsid w:val="007E6DDA"/>
    <w:rsid w:val="007E7117"/>
    <w:rsid w:val="007E749E"/>
    <w:rsid w:val="007E7AF8"/>
    <w:rsid w:val="007E7C0A"/>
    <w:rsid w:val="007E7DB2"/>
    <w:rsid w:val="007F132D"/>
    <w:rsid w:val="007F4BB3"/>
    <w:rsid w:val="007F515D"/>
    <w:rsid w:val="007F5FC7"/>
    <w:rsid w:val="007F759F"/>
    <w:rsid w:val="0080337D"/>
    <w:rsid w:val="00803415"/>
    <w:rsid w:val="008034D1"/>
    <w:rsid w:val="00805A6C"/>
    <w:rsid w:val="008071B2"/>
    <w:rsid w:val="008076C9"/>
    <w:rsid w:val="008131EA"/>
    <w:rsid w:val="0081385D"/>
    <w:rsid w:val="00813DA1"/>
    <w:rsid w:val="00814974"/>
    <w:rsid w:val="00815B58"/>
    <w:rsid w:val="00817556"/>
    <w:rsid w:val="008210E8"/>
    <w:rsid w:val="008217F8"/>
    <w:rsid w:val="0082563C"/>
    <w:rsid w:val="008322AA"/>
    <w:rsid w:val="0083258F"/>
    <w:rsid w:val="008331D5"/>
    <w:rsid w:val="00836464"/>
    <w:rsid w:val="00840DDE"/>
    <w:rsid w:val="00843A55"/>
    <w:rsid w:val="00845D20"/>
    <w:rsid w:val="00850BDF"/>
    <w:rsid w:val="00850CCB"/>
    <w:rsid w:val="00850FA3"/>
    <w:rsid w:val="00852151"/>
    <w:rsid w:val="00854E95"/>
    <w:rsid w:val="008555CB"/>
    <w:rsid w:val="008577AB"/>
    <w:rsid w:val="00857E53"/>
    <w:rsid w:val="008607FD"/>
    <w:rsid w:val="00860A15"/>
    <w:rsid w:val="0086259B"/>
    <w:rsid w:val="00863562"/>
    <w:rsid w:val="008635ED"/>
    <w:rsid w:val="008649F4"/>
    <w:rsid w:val="00867B8A"/>
    <w:rsid w:val="00867F16"/>
    <w:rsid w:val="00870D5F"/>
    <w:rsid w:val="00870E7F"/>
    <w:rsid w:val="008713BC"/>
    <w:rsid w:val="00871C43"/>
    <w:rsid w:val="0087257E"/>
    <w:rsid w:val="00872D01"/>
    <w:rsid w:val="00872EE5"/>
    <w:rsid w:val="008733ED"/>
    <w:rsid w:val="0087568A"/>
    <w:rsid w:val="0087573B"/>
    <w:rsid w:val="00875D67"/>
    <w:rsid w:val="00875E59"/>
    <w:rsid w:val="00876A7B"/>
    <w:rsid w:val="00876F52"/>
    <w:rsid w:val="008801F3"/>
    <w:rsid w:val="00881BF5"/>
    <w:rsid w:val="008824AE"/>
    <w:rsid w:val="00883AFA"/>
    <w:rsid w:val="00884A0B"/>
    <w:rsid w:val="008859CC"/>
    <w:rsid w:val="008859D5"/>
    <w:rsid w:val="008859F9"/>
    <w:rsid w:val="00885CC7"/>
    <w:rsid w:val="008861C0"/>
    <w:rsid w:val="0088665D"/>
    <w:rsid w:val="00886890"/>
    <w:rsid w:val="00886FF7"/>
    <w:rsid w:val="0089055A"/>
    <w:rsid w:val="00891D74"/>
    <w:rsid w:val="00891E5E"/>
    <w:rsid w:val="00893805"/>
    <w:rsid w:val="00895D6F"/>
    <w:rsid w:val="00895D96"/>
    <w:rsid w:val="008969D8"/>
    <w:rsid w:val="00897240"/>
    <w:rsid w:val="00897C9F"/>
    <w:rsid w:val="00897DCB"/>
    <w:rsid w:val="008A03D2"/>
    <w:rsid w:val="008A03D5"/>
    <w:rsid w:val="008A03EF"/>
    <w:rsid w:val="008A0B6B"/>
    <w:rsid w:val="008A24C3"/>
    <w:rsid w:val="008A2DA8"/>
    <w:rsid w:val="008A30B1"/>
    <w:rsid w:val="008A30F7"/>
    <w:rsid w:val="008A5481"/>
    <w:rsid w:val="008A7CFC"/>
    <w:rsid w:val="008B1BA9"/>
    <w:rsid w:val="008B3706"/>
    <w:rsid w:val="008B5695"/>
    <w:rsid w:val="008B597D"/>
    <w:rsid w:val="008B6B6D"/>
    <w:rsid w:val="008B6EAE"/>
    <w:rsid w:val="008C4824"/>
    <w:rsid w:val="008C6384"/>
    <w:rsid w:val="008C6BBF"/>
    <w:rsid w:val="008D05FB"/>
    <w:rsid w:val="008D087D"/>
    <w:rsid w:val="008D205A"/>
    <w:rsid w:val="008D22D2"/>
    <w:rsid w:val="008D576F"/>
    <w:rsid w:val="008D79EC"/>
    <w:rsid w:val="008D7A32"/>
    <w:rsid w:val="008E134C"/>
    <w:rsid w:val="008E1ED4"/>
    <w:rsid w:val="008E2114"/>
    <w:rsid w:val="008E3904"/>
    <w:rsid w:val="008E3F05"/>
    <w:rsid w:val="008E5D74"/>
    <w:rsid w:val="008E618B"/>
    <w:rsid w:val="008E6CCF"/>
    <w:rsid w:val="008F02C4"/>
    <w:rsid w:val="008F23AE"/>
    <w:rsid w:val="008F303A"/>
    <w:rsid w:val="008F3EE8"/>
    <w:rsid w:val="008F3FB6"/>
    <w:rsid w:val="008F4287"/>
    <w:rsid w:val="008F569F"/>
    <w:rsid w:val="008F5AC3"/>
    <w:rsid w:val="008F7B57"/>
    <w:rsid w:val="009007A7"/>
    <w:rsid w:val="00900BC5"/>
    <w:rsid w:val="009019C8"/>
    <w:rsid w:val="00902E50"/>
    <w:rsid w:val="00905B32"/>
    <w:rsid w:val="00906A03"/>
    <w:rsid w:val="00906B09"/>
    <w:rsid w:val="00910760"/>
    <w:rsid w:val="0091100C"/>
    <w:rsid w:val="00911AE9"/>
    <w:rsid w:val="009142CA"/>
    <w:rsid w:val="00914E91"/>
    <w:rsid w:val="00915396"/>
    <w:rsid w:val="009200AE"/>
    <w:rsid w:val="009205CC"/>
    <w:rsid w:val="00921FF0"/>
    <w:rsid w:val="00923123"/>
    <w:rsid w:val="009231E1"/>
    <w:rsid w:val="009233C0"/>
    <w:rsid w:val="0092573D"/>
    <w:rsid w:val="00927490"/>
    <w:rsid w:val="00927549"/>
    <w:rsid w:val="0093088A"/>
    <w:rsid w:val="00930F72"/>
    <w:rsid w:val="0093130E"/>
    <w:rsid w:val="00931CDF"/>
    <w:rsid w:val="0093220C"/>
    <w:rsid w:val="00933D88"/>
    <w:rsid w:val="00935263"/>
    <w:rsid w:val="00935C28"/>
    <w:rsid w:val="00935F08"/>
    <w:rsid w:val="00937AC9"/>
    <w:rsid w:val="00940F29"/>
    <w:rsid w:val="00941009"/>
    <w:rsid w:val="00942EB8"/>
    <w:rsid w:val="009431B3"/>
    <w:rsid w:val="009470B6"/>
    <w:rsid w:val="00947C78"/>
    <w:rsid w:val="00950D5E"/>
    <w:rsid w:val="00951468"/>
    <w:rsid w:val="00954567"/>
    <w:rsid w:val="009559EA"/>
    <w:rsid w:val="00956D94"/>
    <w:rsid w:val="00957B0D"/>
    <w:rsid w:val="00960D3E"/>
    <w:rsid w:val="00960DB3"/>
    <w:rsid w:val="00961CAE"/>
    <w:rsid w:val="00964444"/>
    <w:rsid w:val="00964D32"/>
    <w:rsid w:val="00966892"/>
    <w:rsid w:val="00966DB4"/>
    <w:rsid w:val="00966DBE"/>
    <w:rsid w:val="00967C28"/>
    <w:rsid w:val="00970386"/>
    <w:rsid w:val="00970451"/>
    <w:rsid w:val="00970852"/>
    <w:rsid w:val="00971CBE"/>
    <w:rsid w:val="00972F56"/>
    <w:rsid w:val="00973848"/>
    <w:rsid w:val="00974512"/>
    <w:rsid w:val="00975D32"/>
    <w:rsid w:val="00976CA7"/>
    <w:rsid w:val="009778C7"/>
    <w:rsid w:val="00980F64"/>
    <w:rsid w:val="00981893"/>
    <w:rsid w:val="00981C42"/>
    <w:rsid w:val="00984797"/>
    <w:rsid w:val="0098550C"/>
    <w:rsid w:val="00987A15"/>
    <w:rsid w:val="009918C6"/>
    <w:rsid w:val="00991EA9"/>
    <w:rsid w:val="00992B84"/>
    <w:rsid w:val="00994406"/>
    <w:rsid w:val="009944A8"/>
    <w:rsid w:val="00997B2F"/>
    <w:rsid w:val="00997C3C"/>
    <w:rsid w:val="009A0FA4"/>
    <w:rsid w:val="009A227D"/>
    <w:rsid w:val="009A309D"/>
    <w:rsid w:val="009A620A"/>
    <w:rsid w:val="009A71DA"/>
    <w:rsid w:val="009B11F3"/>
    <w:rsid w:val="009B2808"/>
    <w:rsid w:val="009B3642"/>
    <w:rsid w:val="009B4D4A"/>
    <w:rsid w:val="009B4FD7"/>
    <w:rsid w:val="009B6183"/>
    <w:rsid w:val="009C06E2"/>
    <w:rsid w:val="009C1AB1"/>
    <w:rsid w:val="009C1E7E"/>
    <w:rsid w:val="009C2782"/>
    <w:rsid w:val="009C362B"/>
    <w:rsid w:val="009C42ED"/>
    <w:rsid w:val="009C45DA"/>
    <w:rsid w:val="009C4AB1"/>
    <w:rsid w:val="009D0AF1"/>
    <w:rsid w:val="009D0C31"/>
    <w:rsid w:val="009D1113"/>
    <w:rsid w:val="009D258D"/>
    <w:rsid w:val="009D25E6"/>
    <w:rsid w:val="009D2C7C"/>
    <w:rsid w:val="009D2D12"/>
    <w:rsid w:val="009D2E6E"/>
    <w:rsid w:val="009D7304"/>
    <w:rsid w:val="009D7A9B"/>
    <w:rsid w:val="009E36BF"/>
    <w:rsid w:val="009E46D8"/>
    <w:rsid w:val="009E4787"/>
    <w:rsid w:val="009E4AF4"/>
    <w:rsid w:val="009E5763"/>
    <w:rsid w:val="009E73FA"/>
    <w:rsid w:val="009F0EB5"/>
    <w:rsid w:val="009F183A"/>
    <w:rsid w:val="009F1918"/>
    <w:rsid w:val="009F273E"/>
    <w:rsid w:val="009F30E5"/>
    <w:rsid w:val="009F3F8E"/>
    <w:rsid w:val="00A00AE6"/>
    <w:rsid w:val="00A01408"/>
    <w:rsid w:val="00A01B48"/>
    <w:rsid w:val="00A03F48"/>
    <w:rsid w:val="00A04808"/>
    <w:rsid w:val="00A05304"/>
    <w:rsid w:val="00A06B1C"/>
    <w:rsid w:val="00A11700"/>
    <w:rsid w:val="00A141ED"/>
    <w:rsid w:val="00A14888"/>
    <w:rsid w:val="00A15501"/>
    <w:rsid w:val="00A1613E"/>
    <w:rsid w:val="00A17253"/>
    <w:rsid w:val="00A1728B"/>
    <w:rsid w:val="00A20516"/>
    <w:rsid w:val="00A206DB"/>
    <w:rsid w:val="00A21301"/>
    <w:rsid w:val="00A2649D"/>
    <w:rsid w:val="00A27E6B"/>
    <w:rsid w:val="00A27F01"/>
    <w:rsid w:val="00A33CCB"/>
    <w:rsid w:val="00A341D1"/>
    <w:rsid w:val="00A34AD6"/>
    <w:rsid w:val="00A400C9"/>
    <w:rsid w:val="00A41AC2"/>
    <w:rsid w:val="00A42C08"/>
    <w:rsid w:val="00A42CE1"/>
    <w:rsid w:val="00A450BE"/>
    <w:rsid w:val="00A47CA4"/>
    <w:rsid w:val="00A52304"/>
    <w:rsid w:val="00A52484"/>
    <w:rsid w:val="00A60635"/>
    <w:rsid w:val="00A6274B"/>
    <w:rsid w:val="00A663A9"/>
    <w:rsid w:val="00A701A6"/>
    <w:rsid w:val="00A70732"/>
    <w:rsid w:val="00A722E3"/>
    <w:rsid w:val="00A72A4E"/>
    <w:rsid w:val="00A73374"/>
    <w:rsid w:val="00A7347E"/>
    <w:rsid w:val="00A7365A"/>
    <w:rsid w:val="00A7366A"/>
    <w:rsid w:val="00A773FC"/>
    <w:rsid w:val="00A809F5"/>
    <w:rsid w:val="00A81390"/>
    <w:rsid w:val="00A82092"/>
    <w:rsid w:val="00A82295"/>
    <w:rsid w:val="00A82678"/>
    <w:rsid w:val="00A82D4A"/>
    <w:rsid w:val="00A835E2"/>
    <w:rsid w:val="00A83FB1"/>
    <w:rsid w:val="00A8625C"/>
    <w:rsid w:val="00A86A53"/>
    <w:rsid w:val="00A86F81"/>
    <w:rsid w:val="00A876F4"/>
    <w:rsid w:val="00A91381"/>
    <w:rsid w:val="00A92013"/>
    <w:rsid w:val="00A92148"/>
    <w:rsid w:val="00A9267E"/>
    <w:rsid w:val="00A93E55"/>
    <w:rsid w:val="00A947B1"/>
    <w:rsid w:val="00A96AFC"/>
    <w:rsid w:val="00A96BF6"/>
    <w:rsid w:val="00A97F6D"/>
    <w:rsid w:val="00AA0244"/>
    <w:rsid w:val="00AA323B"/>
    <w:rsid w:val="00AA41F7"/>
    <w:rsid w:val="00AB3849"/>
    <w:rsid w:val="00AB3AFE"/>
    <w:rsid w:val="00AB49C4"/>
    <w:rsid w:val="00AB5722"/>
    <w:rsid w:val="00AB5EAF"/>
    <w:rsid w:val="00AB69E4"/>
    <w:rsid w:val="00AC0CE3"/>
    <w:rsid w:val="00AC15FB"/>
    <w:rsid w:val="00AC2799"/>
    <w:rsid w:val="00AC69B0"/>
    <w:rsid w:val="00AD0CD5"/>
    <w:rsid w:val="00AD1D91"/>
    <w:rsid w:val="00AD59E5"/>
    <w:rsid w:val="00AD67EA"/>
    <w:rsid w:val="00AD70E4"/>
    <w:rsid w:val="00AE1662"/>
    <w:rsid w:val="00AE181D"/>
    <w:rsid w:val="00AE29CD"/>
    <w:rsid w:val="00AE2A8D"/>
    <w:rsid w:val="00AE33CD"/>
    <w:rsid w:val="00AE422E"/>
    <w:rsid w:val="00AE4DDD"/>
    <w:rsid w:val="00AE7615"/>
    <w:rsid w:val="00AE7FE2"/>
    <w:rsid w:val="00AF0B8C"/>
    <w:rsid w:val="00AF17A0"/>
    <w:rsid w:val="00AF4930"/>
    <w:rsid w:val="00AF6467"/>
    <w:rsid w:val="00B00555"/>
    <w:rsid w:val="00B0098B"/>
    <w:rsid w:val="00B009F0"/>
    <w:rsid w:val="00B010B6"/>
    <w:rsid w:val="00B0188F"/>
    <w:rsid w:val="00B02530"/>
    <w:rsid w:val="00B04082"/>
    <w:rsid w:val="00B05C77"/>
    <w:rsid w:val="00B07B7D"/>
    <w:rsid w:val="00B113B2"/>
    <w:rsid w:val="00B11BEB"/>
    <w:rsid w:val="00B12A0B"/>
    <w:rsid w:val="00B12C3B"/>
    <w:rsid w:val="00B13C3A"/>
    <w:rsid w:val="00B15F05"/>
    <w:rsid w:val="00B15FB0"/>
    <w:rsid w:val="00B1614B"/>
    <w:rsid w:val="00B16F84"/>
    <w:rsid w:val="00B237BC"/>
    <w:rsid w:val="00B2428B"/>
    <w:rsid w:val="00B24F80"/>
    <w:rsid w:val="00B27284"/>
    <w:rsid w:val="00B278AF"/>
    <w:rsid w:val="00B31106"/>
    <w:rsid w:val="00B33975"/>
    <w:rsid w:val="00B34A2E"/>
    <w:rsid w:val="00B34D3C"/>
    <w:rsid w:val="00B34F7B"/>
    <w:rsid w:val="00B35245"/>
    <w:rsid w:val="00B358F6"/>
    <w:rsid w:val="00B36ED9"/>
    <w:rsid w:val="00B36F61"/>
    <w:rsid w:val="00B3731B"/>
    <w:rsid w:val="00B42750"/>
    <w:rsid w:val="00B42802"/>
    <w:rsid w:val="00B4629A"/>
    <w:rsid w:val="00B463B9"/>
    <w:rsid w:val="00B471B5"/>
    <w:rsid w:val="00B47255"/>
    <w:rsid w:val="00B47880"/>
    <w:rsid w:val="00B5156B"/>
    <w:rsid w:val="00B5178E"/>
    <w:rsid w:val="00B52282"/>
    <w:rsid w:val="00B526D8"/>
    <w:rsid w:val="00B5310F"/>
    <w:rsid w:val="00B5321B"/>
    <w:rsid w:val="00B54B80"/>
    <w:rsid w:val="00B5594D"/>
    <w:rsid w:val="00B56A72"/>
    <w:rsid w:val="00B579CE"/>
    <w:rsid w:val="00B60360"/>
    <w:rsid w:val="00B63368"/>
    <w:rsid w:val="00B6739D"/>
    <w:rsid w:val="00B67B1F"/>
    <w:rsid w:val="00B70432"/>
    <w:rsid w:val="00B709F4"/>
    <w:rsid w:val="00B72079"/>
    <w:rsid w:val="00B744CC"/>
    <w:rsid w:val="00B76730"/>
    <w:rsid w:val="00B77B05"/>
    <w:rsid w:val="00B77B29"/>
    <w:rsid w:val="00B80541"/>
    <w:rsid w:val="00B82D72"/>
    <w:rsid w:val="00B8300B"/>
    <w:rsid w:val="00B83C0B"/>
    <w:rsid w:val="00B84124"/>
    <w:rsid w:val="00B8440A"/>
    <w:rsid w:val="00B85250"/>
    <w:rsid w:val="00B86486"/>
    <w:rsid w:val="00B865F2"/>
    <w:rsid w:val="00B91410"/>
    <w:rsid w:val="00B918E3"/>
    <w:rsid w:val="00B91B9B"/>
    <w:rsid w:val="00B92B72"/>
    <w:rsid w:val="00B930C2"/>
    <w:rsid w:val="00B94E8F"/>
    <w:rsid w:val="00B95AE0"/>
    <w:rsid w:val="00BA2A8F"/>
    <w:rsid w:val="00BA2B01"/>
    <w:rsid w:val="00BA5970"/>
    <w:rsid w:val="00BA683C"/>
    <w:rsid w:val="00BA7212"/>
    <w:rsid w:val="00BB4F03"/>
    <w:rsid w:val="00BB543B"/>
    <w:rsid w:val="00BB66C5"/>
    <w:rsid w:val="00BB6F8F"/>
    <w:rsid w:val="00BB798B"/>
    <w:rsid w:val="00BC0078"/>
    <w:rsid w:val="00BC37C5"/>
    <w:rsid w:val="00BC3EC9"/>
    <w:rsid w:val="00BC4321"/>
    <w:rsid w:val="00BC43CD"/>
    <w:rsid w:val="00BC5A28"/>
    <w:rsid w:val="00BC697F"/>
    <w:rsid w:val="00BD08A6"/>
    <w:rsid w:val="00BD098E"/>
    <w:rsid w:val="00BD46BC"/>
    <w:rsid w:val="00BD56C8"/>
    <w:rsid w:val="00BD5E44"/>
    <w:rsid w:val="00BD69D6"/>
    <w:rsid w:val="00BE1152"/>
    <w:rsid w:val="00BE16D5"/>
    <w:rsid w:val="00BE1BB8"/>
    <w:rsid w:val="00BE4F52"/>
    <w:rsid w:val="00BE66AC"/>
    <w:rsid w:val="00BE6920"/>
    <w:rsid w:val="00BE6BCF"/>
    <w:rsid w:val="00BE6F2D"/>
    <w:rsid w:val="00BF12D1"/>
    <w:rsid w:val="00BF65A4"/>
    <w:rsid w:val="00C02407"/>
    <w:rsid w:val="00C040F3"/>
    <w:rsid w:val="00C04F29"/>
    <w:rsid w:val="00C0606B"/>
    <w:rsid w:val="00C06EC9"/>
    <w:rsid w:val="00C06F8D"/>
    <w:rsid w:val="00C077BF"/>
    <w:rsid w:val="00C07B75"/>
    <w:rsid w:val="00C10A12"/>
    <w:rsid w:val="00C11618"/>
    <w:rsid w:val="00C14D84"/>
    <w:rsid w:val="00C14EDC"/>
    <w:rsid w:val="00C1525B"/>
    <w:rsid w:val="00C157EF"/>
    <w:rsid w:val="00C15A0D"/>
    <w:rsid w:val="00C17633"/>
    <w:rsid w:val="00C22601"/>
    <w:rsid w:val="00C23515"/>
    <w:rsid w:val="00C306A2"/>
    <w:rsid w:val="00C3324D"/>
    <w:rsid w:val="00C3444D"/>
    <w:rsid w:val="00C3627A"/>
    <w:rsid w:val="00C36CE4"/>
    <w:rsid w:val="00C40B93"/>
    <w:rsid w:val="00C426A9"/>
    <w:rsid w:val="00C42757"/>
    <w:rsid w:val="00C4337B"/>
    <w:rsid w:val="00C43513"/>
    <w:rsid w:val="00C44395"/>
    <w:rsid w:val="00C45430"/>
    <w:rsid w:val="00C455CF"/>
    <w:rsid w:val="00C50F3E"/>
    <w:rsid w:val="00C5136C"/>
    <w:rsid w:val="00C558E6"/>
    <w:rsid w:val="00C561B3"/>
    <w:rsid w:val="00C56922"/>
    <w:rsid w:val="00C57894"/>
    <w:rsid w:val="00C603DF"/>
    <w:rsid w:val="00C60E73"/>
    <w:rsid w:val="00C6122A"/>
    <w:rsid w:val="00C6172D"/>
    <w:rsid w:val="00C636B7"/>
    <w:rsid w:val="00C6565C"/>
    <w:rsid w:val="00C662E7"/>
    <w:rsid w:val="00C66A9A"/>
    <w:rsid w:val="00C67588"/>
    <w:rsid w:val="00C67661"/>
    <w:rsid w:val="00C6767A"/>
    <w:rsid w:val="00C70526"/>
    <w:rsid w:val="00C70A45"/>
    <w:rsid w:val="00C70E95"/>
    <w:rsid w:val="00C77285"/>
    <w:rsid w:val="00C812E3"/>
    <w:rsid w:val="00C82530"/>
    <w:rsid w:val="00C82D47"/>
    <w:rsid w:val="00C8316A"/>
    <w:rsid w:val="00C8399E"/>
    <w:rsid w:val="00C83B76"/>
    <w:rsid w:val="00C85A47"/>
    <w:rsid w:val="00C8618B"/>
    <w:rsid w:val="00C863D2"/>
    <w:rsid w:val="00C86BC3"/>
    <w:rsid w:val="00C90222"/>
    <w:rsid w:val="00C904CE"/>
    <w:rsid w:val="00C90F45"/>
    <w:rsid w:val="00C9329C"/>
    <w:rsid w:val="00C95ED4"/>
    <w:rsid w:val="00C96EA5"/>
    <w:rsid w:val="00CA0E63"/>
    <w:rsid w:val="00CA32A4"/>
    <w:rsid w:val="00CA3EF4"/>
    <w:rsid w:val="00CA4338"/>
    <w:rsid w:val="00CA4C5D"/>
    <w:rsid w:val="00CA5440"/>
    <w:rsid w:val="00CA5634"/>
    <w:rsid w:val="00CA77ED"/>
    <w:rsid w:val="00CA79B7"/>
    <w:rsid w:val="00CA7BC0"/>
    <w:rsid w:val="00CB22A0"/>
    <w:rsid w:val="00CB4779"/>
    <w:rsid w:val="00CB5BE0"/>
    <w:rsid w:val="00CB6290"/>
    <w:rsid w:val="00CC06F0"/>
    <w:rsid w:val="00CC0D1A"/>
    <w:rsid w:val="00CC21BB"/>
    <w:rsid w:val="00CC2D21"/>
    <w:rsid w:val="00CC3408"/>
    <w:rsid w:val="00CC3665"/>
    <w:rsid w:val="00CC45CB"/>
    <w:rsid w:val="00CC4CE1"/>
    <w:rsid w:val="00CC4DAA"/>
    <w:rsid w:val="00CC5055"/>
    <w:rsid w:val="00CC5E93"/>
    <w:rsid w:val="00CC6737"/>
    <w:rsid w:val="00CD01A4"/>
    <w:rsid w:val="00CD0FFF"/>
    <w:rsid w:val="00CD13AD"/>
    <w:rsid w:val="00CD15AA"/>
    <w:rsid w:val="00CD27BC"/>
    <w:rsid w:val="00CD29D1"/>
    <w:rsid w:val="00CD32D2"/>
    <w:rsid w:val="00CD4816"/>
    <w:rsid w:val="00CD51D4"/>
    <w:rsid w:val="00CD56D3"/>
    <w:rsid w:val="00CD64EF"/>
    <w:rsid w:val="00CD7338"/>
    <w:rsid w:val="00CE138D"/>
    <w:rsid w:val="00CE184A"/>
    <w:rsid w:val="00CE3163"/>
    <w:rsid w:val="00CE5E69"/>
    <w:rsid w:val="00CE78C3"/>
    <w:rsid w:val="00CF1077"/>
    <w:rsid w:val="00CF153A"/>
    <w:rsid w:val="00CF7BA7"/>
    <w:rsid w:val="00D0193F"/>
    <w:rsid w:val="00D058D2"/>
    <w:rsid w:val="00D05C84"/>
    <w:rsid w:val="00D06BC3"/>
    <w:rsid w:val="00D073BD"/>
    <w:rsid w:val="00D13943"/>
    <w:rsid w:val="00D14A4D"/>
    <w:rsid w:val="00D167A6"/>
    <w:rsid w:val="00D169DD"/>
    <w:rsid w:val="00D17BDF"/>
    <w:rsid w:val="00D20706"/>
    <w:rsid w:val="00D20D73"/>
    <w:rsid w:val="00D23730"/>
    <w:rsid w:val="00D23A37"/>
    <w:rsid w:val="00D2460F"/>
    <w:rsid w:val="00D24940"/>
    <w:rsid w:val="00D3013E"/>
    <w:rsid w:val="00D315F8"/>
    <w:rsid w:val="00D32008"/>
    <w:rsid w:val="00D32173"/>
    <w:rsid w:val="00D323B7"/>
    <w:rsid w:val="00D3261A"/>
    <w:rsid w:val="00D33D26"/>
    <w:rsid w:val="00D33FB9"/>
    <w:rsid w:val="00D35626"/>
    <w:rsid w:val="00D3604A"/>
    <w:rsid w:val="00D36ABE"/>
    <w:rsid w:val="00D36E60"/>
    <w:rsid w:val="00D37261"/>
    <w:rsid w:val="00D42625"/>
    <w:rsid w:val="00D426CA"/>
    <w:rsid w:val="00D462E8"/>
    <w:rsid w:val="00D4658A"/>
    <w:rsid w:val="00D477E4"/>
    <w:rsid w:val="00D50026"/>
    <w:rsid w:val="00D50153"/>
    <w:rsid w:val="00D51217"/>
    <w:rsid w:val="00D52560"/>
    <w:rsid w:val="00D526F1"/>
    <w:rsid w:val="00D52AAD"/>
    <w:rsid w:val="00D52AB3"/>
    <w:rsid w:val="00D54625"/>
    <w:rsid w:val="00D54D1D"/>
    <w:rsid w:val="00D5604D"/>
    <w:rsid w:val="00D569B1"/>
    <w:rsid w:val="00D5712F"/>
    <w:rsid w:val="00D573B3"/>
    <w:rsid w:val="00D57538"/>
    <w:rsid w:val="00D57F8A"/>
    <w:rsid w:val="00D608AA"/>
    <w:rsid w:val="00D60BEF"/>
    <w:rsid w:val="00D6293D"/>
    <w:rsid w:val="00D645FA"/>
    <w:rsid w:val="00D66751"/>
    <w:rsid w:val="00D67639"/>
    <w:rsid w:val="00D67DB8"/>
    <w:rsid w:val="00D70730"/>
    <w:rsid w:val="00D70934"/>
    <w:rsid w:val="00D729C1"/>
    <w:rsid w:val="00D72C44"/>
    <w:rsid w:val="00D7440A"/>
    <w:rsid w:val="00D76746"/>
    <w:rsid w:val="00D7696C"/>
    <w:rsid w:val="00D7764C"/>
    <w:rsid w:val="00D777CC"/>
    <w:rsid w:val="00D77B6F"/>
    <w:rsid w:val="00D77DE8"/>
    <w:rsid w:val="00D81551"/>
    <w:rsid w:val="00D81D0D"/>
    <w:rsid w:val="00D85BF4"/>
    <w:rsid w:val="00D86923"/>
    <w:rsid w:val="00D873B5"/>
    <w:rsid w:val="00D87BCC"/>
    <w:rsid w:val="00D91EB7"/>
    <w:rsid w:val="00D9296C"/>
    <w:rsid w:val="00D92A6D"/>
    <w:rsid w:val="00D92BD8"/>
    <w:rsid w:val="00D93207"/>
    <w:rsid w:val="00D9716F"/>
    <w:rsid w:val="00D97A38"/>
    <w:rsid w:val="00D97DA9"/>
    <w:rsid w:val="00D97F91"/>
    <w:rsid w:val="00DA0304"/>
    <w:rsid w:val="00DA0FBA"/>
    <w:rsid w:val="00DA2479"/>
    <w:rsid w:val="00DA2EE6"/>
    <w:rsid w:val="00DA31F8"/>
    <w:rsid w:val="00DA3946"/>
    <w:rsid w:val="00DA488D"/>
    <w:rsid w:val="00DA77CB"/>
    <w:rsid w:val="00DB3461"/>
    <w:rsid w:val="00DB39ED"/>
    <w:rsid w:val="00DB4DB0"/>
    <w:rsid w:val="00DB6100"/>
    <w:rsid w:val="00DB6ACE"/>
    <w:rsid w:val="00DC0CA2"/>
    <w:rsid w:val="00DC4D4C"/>
    <w:rsid w:val="00DC4F8E"/>
    <w:rsid w:val="00DC5234"/>
    <w:rsid w:val="00DC5D21"/>
    <w:rsid w:val="00DC619A"/>
    <w:rsid w:val="00DD4461"/>
    <w:rsid w:val="00DD51D5"/>
    <w:rsid w:val="00DD5448"/>
    <w:rsid w:val="00DD5AB4"/>
    <w:rsid w:val="00DE0B07"/>
    <w:rsid w:val="00DE1803"/>
    <w:rsid w:val="00DE2155"/>
    <w:rsid w:val="00DE5CDC"/>
    <w:rsid w:val="00DE6568"/>
    <w:rsid w:val="00DE7344"/>
    <w:rsid w:val="00DE7740"/>
    <w:rsid w:val="00DF0C68"/>
    <w:rsid w:val="00DF5416"/>
    <w:rsid w:val="00DF5659"/>
    <w:rsid w:val="00DF6BEE"/>
    <w:rsid w:val="00DF79E8"/>
    <w:rsid w:val="00DF7A77"/>
    <w:rsid w:val="00E0044A"/>
    <w:rsid w:val="00E004A4"/>
    <w:rsid w:val="00E0270D"/>
    <w:rsid w:val="00E054F7"/>
    <w:rsid w:val="00E06AFB"/>
    <w:rsid w:val="00E0752C"/>
    <w:rsid w:val="00E11CBC"/>
    <w:rsid w:val="00E11FB2"/>
    <w:rsid w:val="00E124B0"/>
    <w:rsid w:val="00E12E97"/>
    <w:rsid w:val="00E13FEB"/>
    <w:rsid w:val="00E144A9"/>
    <w:rsid w:val="00E14758"/>
    <w:rsid w:val="00E175CA"/>
    <w:rsid w:val="00E17847"/>
    <w:rsid w:val="00E17EF8"/>
    <w:rsid w:val="00E2079F"/>
    <w:rsid w:val="00E20D41"/>
    <w:rsid w:val="00E20F24"/>
    <w:rsid w:val="00E211DA"/>
    <w:rsid w:val="00E218FF"/>
    <w:rsid w:val="00E21D26"/>
    <w:rsid w:val="00E21EA3"/>
    <w:rsid w:val="00E2236E"/>
    <w:rsid w:val="00E2387A"/>
    <w:rsid w:val="00E241AA"/>
    <w:rsid w:val="00E24409"/>
    <w:rsid w:val="00E2451D"/>
    <w:rsid w:val="00E26949"/>
    <w:rsid w:val="00E3034F"/>
    <w:rsid w:val="00E314DE"/>
    <w:rsid w:val="00E35171"/>
    <w:rsid w:val="00E35D50"/>
    <w:rsid w:val="00E37A7C"/>
    <w:rsid w:val="00E37DA0"/>
    <w:rsid w:val="00E40DC9"/>
    <w:rsid w:val="00E40F7D"/>
    <w:rsid w:val="00E41DCA"/>
    <w:rsid w:val="00E41F89"/>
    <w:rsid w:val="00E421C1"/>
    <w:rsid w:val="00E444ED"/>
    <w:rsid w:val="00E44EB2"/>
    <w:rsid w:val="00E46577"/>
    <w:rsid w:val="00E50A32"/>
    <w:rsid w:val="00E51D10"/>
    <w:rsid w:val="00E52A41"/>
    <w:rsid w:val="00E531BB"/>
    <w:rsid w:val="00E53530"/>
    <w:rsid w:val="00E547C0"/>
    <w:rsid w:val="00E56308"/>
    <w:rsid w:val="00E56B8E"/>
    <w:rsid w:val="00E56EBD"/>
    <w:rsid w:val="00E57096"/>
    <w:rsid w:val="00E60143"/>
    <w:rsid w:val="00E60428"/>
    <w:rsid w:val="00E61173"/>
    <w:rsid w:val="00E6212F"/>
    <w:rsid w:val="00E62FED"/>
    <w:rsid w:val="00E63D42"/>
    <w:rsid w:val="00E65C91"/>
    <w:rsid w:val="00E66424"/>
    <w:rsid w:val="00E66BDF"/>
    <w:rsid w:val="00E70CE2"/>
    <w:rsid w:val="00E71550"/>
    <w:rsid w:val="00E72063"/>
    <w:rsid w:val="00E7220B"/>
    <w:rsid w:val="00E72533"/>
    <w:rsid w:val="00E74F9F"/>
    <w:rsid w:val="00E75BAA"/>
    <w:rsid w:val="00E76511"/>
    <w:rsid w:val="00E77E2A"/>
    <w:rsid w:val="00E80E4C"/>
    <w:rsid w:val="00E8152E"/>
    <w:rsid w:val="00E81F3C"/>
    <w:rsid w:val="00E826C9"/>
    <w:rsid w:val="00E82AB0"/>
    <w:rsid w:val="00E84183"/>
    <w:rsid w:val="00E85E20"/>
    <w:rsid w:val="00E87146"/>
    <w:rsid w:val="00E9107F"/>
    <w:rsid w:val="00E91E08"/>
    <w:rsid w:val="00E92497"/>
    <w:rsid w:val="00E926D3"/>
    <w:rsid w:val="00E94DBE"/>
    <w:rsid w:val="00E954E3"/>
    <w:rsid w:val="00E955DB"/>
    <w:rsid w:val="00E95D28"/>
    <w:rsid w:val="00E96B91"/>
    <w:rsid w:val="00E97F7E"/>
    <w:rsid w:val="00EA15DB"/>
    <w:rsid w:val="00EA352B"/>
    <w:rsid w:val="00EA653B"/>
    <w:rsid w:val="00EB0F3A"/>
    <w:rsid w:val="00EB1B17"/>
    <w:rsid w:val="00EB241E"/>
    <w:rsid w:val="00EB5A67"/>
    <w:rsid w:val="00EB6184"/>
    <w:rsid w:val="00EB6C89"/>
    <w:rsid w:val="00EB7C9F"/>
    <w:rsid w:val="00EC1CF7"/>
    <w:rsid w:val="00EC43CF"/>
    <w:rsid w:val="00EC4A2C"/>
    <w:rsid w:val="00EC5213"/>
    <w:rsid w:val="00EC5A65"/>
    <w:rsid w:val="00EC5FB9"/>
    <w:rsid w:val="00EC5FD0"/>
    <w:rsid w:val="00EC687C"/>
    <w:rsid w:val="00EC76EE"/>
    <w:rsid w:val="00ED03E8"/>
    <w:rsid w:val="00ED0A01"/>
    <w:rsid w:val="00ED0D7B"/>
    <w:rsid w:val="00ED2305"/>
    <w:rsid w:val="00ED2EBE"/>
    <w:rsid w:val="00ED73D0"/>
    <w:rsid w:val="00EE3523"/>
    <w:rsid w:val="00EE518D"/>
    <w:rsid w:val="00EE5C04"/>
    <w:rsid w:val="00EF0C35"/>
    <w:rsid w:val="00EF27BC"/>
    <w:rsid w:val="00EF28A7"/>
    <w:rsid w:val="00EF3865"/>
    <w:rsid w:val="00EF604E"/>
    <w:rsid w:val="00EF7047"/>
    <w:rsid w:val="00F01345"/>
    <w:rsid w:val="00F02187"/>
    <w:rsid w:val="00F058DC"/>
    <w:rsid w:val="00F10D2B"/>
    <w:rsid w:val="00F1107E"/>
    <w:rsid w:val="00F1206B"/>
    <w:rsid w:val="00F128BB"/>
    <w:rsid w:val="00F12D9C"/>
    <w:rsid w:val="00F140EC"/>
    <w:rsid w:val="00F15849"/>
    <w:rsid w:val="00F16D30"/>
    <w:rsid w:val="00F219F4"/>
    <w:rsid w:val="00F22446"/>
    <w:rsid w:val="00F242FC"/>
    <w:rsid w:val="00F25023"/>
    <w:rsid w:val="00F26A00"/>
    <w:rsid w:val="00F26D9A"/>
    <w:rsid w:val="00F30313"/>
    <w:rsid w:val="00F31034"/>
    <w:rsid w:val="00F310DC"/>
    <w:rsid w:val="00F355F7"/>
    <w:rsid w:val="00F3600F"/>
    <w:rsid w:val="00F40E77"/>
    <w:rsid w:val="00F4171A"/>
    <w:rsid w:val="00F4385C"/>
    <w:rsid w:val="00F43BB8"/>
    <w:rsid w:val="00F47BDE"/>
    <w:rsid w:val="00F505DD"/>
    <w:rsid w:val="00F51AF1"/>
    <w:rsid w:val="00F52818"/>
    <w:rsid w:val="00F537A5"/>
    <w:rsid w:val="00F550EC"/>
    <w:rsid w:val="00F554F7"/>
    <w:rsid w:val="00F55C56"/>
    <w:rsid w:val="00F56C86"/>
    <w:rsid w:val="00F56D79"/>
    <w:rsid w:val="00F57BCC"/>
    <w:rsid w:val="00F60344"/>
    <w:rsid w:val="00F61693"/>
    <w:rsid w:val="00F62C27"/>
    <w:rsid w:val="00F63A87"/>
    <w:rsid w:val="00F64242"/>
    <w:rsid w:val="00F66B92"/>
    <w:rsid w:val="00F708B0"/>
    <w:rsid w:val="00F719A5"/>
    <w:rsid w:val="00F723E0"/>
    <w:rsid w:val="00F75237"/>
    <w:rsid w:val="00F753E2"/>
    <w:rsid w:val="00F75C5F"/>
    <w:rsid w:val="00F77429"/>
    <w:rsid w:val="00F77D69"/>
    <w:rsid w:val="00F80A87"/>
    <w:rsid w:val="00F842D3"/>
    <w:rsid w:val="00F9032E"/>
    <w:rsid w:val="00F90FD2"/>
    <w:rsid w:val="00F9170C"/>
    <w:rsid w:val="00F9340A"/>
    <w:rsid w:val="00F946EC"/>
    <w:rsid w:val="00F94D5C"/>
    <w:rsid w:val="00F96AE4"/>
    <w:rsid w:val="00F96C8C"/>
    <w:rsid w:val="00F9736D"/>
    <w:rsid w:val="00F97CBC"/>
    <w:rsid w:val="00FA1CF3"/>
    <w:rsid w:val="00FA21D4"/>
    <w:rsid w:val="00FA2F3E"/>
    <w:rsid w:val="00FA52D4"/>
    <w:rsid w:val="00FA5DC6"/>
    <w:rsid w:val="00FA60B6"/>
    <w:rsid w:val="00FB2D7D"/>
    <w:rsid w:val="00FB3DBA"/>
    <w:rsid w:val="00FB6064"/>
    <w:rsid w:val="00FB66C9"/>
    <w:rsid w:val="00FC1DB1"/>
    <w:rsid w:val="00FC20A9"/>
    <w:rsid w:val="00FC3294"/>
    <w:rsid w:val="00FC5C2F"/>
    <w:rsid w:val="00FC6C6C"/>
    <w:rsid w:val="00FD1DE0"/>
    <w:rsid w:val="00FD4D53"/>
    <w:rsid w:val="00FD78E9"/>
    <w:rsid w:val="00FE01B1"/>
    <w:rsid w:val="00FE14B4"/>
    <w:rsid w:val="00FE15B1"/>
    <w:rsid w:val="00FE28AF"/>
    <w:rsid w:val="00FE3827"/>
    <w:rsid w:val="00FE39CC"/>
    <w:rsid w:val="00FE5187"/>
    <w:rsid w:val="00FE5C12"/>
    <w:rsid w:val="00FE5C82"/>
    <w:rsid w:val="00FF03C5"/>
    <w:rsid w:val="00FF435C"/>
    <w:rsid w:val="00FF4588"/>
    <w:rsid w:val="00FF5924"/>
    <w:rsid w:val="00FF64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F2DB5"/>
  <w15:chartTrackingRefBased/>
  <w15:docId w15:val="{E6152D1A-73FB-4444-B187-CA12C6D10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385"/>
  </w:style>
  <w:style w:type="paragraph" w:styleId="Heading1">
    <w:name w:val="heading 1"/>
    <w:basedOn w:val="Normal"/>
    <w:next w:val="Normal"/>
    <w:link w:val="Heading1Char"/>
    <w:autoRedefine/>
    <w:uiPriority w:val="9"/>
    <w:qFormat/>
    <w:rsid w:val="007603E6"/>
    <w:pPr>
      <w:keepNext/>
      <w:keepLines/>
      <w:shd w:val="clear" w:color="auto" w:fill="FFFFFF" w:themeFill="background1"/>
      <w:spacing w:before="120" w:after="120" w:line="276" w:lineRule="auto"/>
      <w:jc w:val="center"/>
      <w:outlineLvl w:val="0"/>
    </w:pPr>
    <w:rPr>
      <w:rFonts w:ascii="Bookman Old Style" w:hAnsi="Bookman Old Style" w:cstheme="majorBidi"/>
      <w:b/>
      <w:color w:val="0070C0"/>
      <w:sz w:val="28"/>
      <w:szCs w:val="28"/>
    </w:rPr>
  </w:style>
  <w:style w:type="paragraph" w:styleId="Heading2">
    <w:name w:val="heading 2"/>
    <w:basedOn w:val="Normal"/>
    <w:next w:val="Normal"/>
    <w:link w:val="Heading2Char"/>
    <w:uiPriority w:val="9"/>
    <w:unhideWhenUsed/>
    <w:qFormat/>
    <w:rsid w:val="002A7796"/>
    <w:pPr>
      <w:keepNext/>
      <w:keepLines/>
      <w:spacing w:before="160" w:after="120"/>
      <w:outlineLvl w:val="1"/>
    </w:pPr>
    <w:rPr>
      <w:rFonts w:ascii="Bookman Old Style" w:eastAsiaTheme="majorEastAsia" w:hAnsi="Bookman Old Style" w:cstheme="majorBidi"/>
      <w:b/>
      <w:color w:val="ED7D31" w:themeColor="accent2"/>
      <w:sz w:val="24"/>
      <w:szCs w:val="26"/>
    </w:rPr>
  </w:style>
  <w:style w:type="paragraph" w:styleId="Heading3">
    <w:name w:val="heading 3"/>
    <w:basedOn w:val="Normal"/>
    <w:next w:val="Normal"/>
    <w:link w:val="Heading3Char"/>
    <w:uiPriority w:val="9"/>
    <w:unhideWhenUsed/>
    <w:qFormat/>
    <w:rsid w:val="00BA2A8F"/>
    <w:pPr>
      <w:keepNext/>
      <w:keepLines/>
      <w:spacing w:before="40" w:after="0" w:line="360" w:lineRule="auto"/>
      <w:outlineLvl w:val="2"/>
    </w:pPr>
    <w:rPr>
      <w:rFonts w:ascii="Bookman Old Style" w:eastAsiaTheme="majorEastAsia" w:hAnsi="Bookman Old Style" w:cstheme="majorBidi"/>
      <w:b/>
      <w:color w:val="ED7D31" w:themeColor="accent2"/>
      <w:sz w:val="24"/>
      <w:szCs w:val="24"/>
    </w:rPr>
  </w:style>
  <w:style w:type="paragraph" w:styleId="Heading5">
    <w:name w:val="heading 5"/>
    <w:basedOn w:val="Normal"/>
    <w:next w:val="Normal"/>
    <w:link w:val="Heading5Char"/>
    <w:uiPriority w:val="9"/>
    <w:semiHidden/>
    <w:unhideWhenUsed/>
    <w:qFormat/>
    <w:rsid w:val="00C3324D"/>
    <w:pPr>
      <w:keepNext/>
      <w:keepLines/>
      <w:spacing w:before="40" w:after="0" w:line="240" w:lineRule="auto"/>
      <w:outlineLvl w:val="4"/>
    </w:pPr>
    <w:rPr>
      <w:rFonts w:asciiTheme="majorHAnsi" w:eastAsiaTheme="majorEastAsia" w:hAnsiTheme="majorHAnsi" w:cstheme="majorBidi"/>
      <w:color w:val="2F5496"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03E6"/>
    <w:rPr>
      <w:rFonts w:ascii="Bookman Old Style" w:hAnsi="Bookman Old Style" w:cstheme="majorBidi"/>
      <w:b/>
      <w:color w:val="0070C0"/>
      <w:sz w:val="28"/>
      <w:szCs w:val="28"/>
      <w:shd w:val="clear" w:color="auto" w:fill="FFFFFF" w:themeFill="background1"/>
    </w:rPr>
  </w:style>
  <w:style w:type="character" w:customStyle="1" w:styleId="Heading2Char">
    <w:name w:val="Heading 2 Char"/>
    <w:basedOn w:val="DefaultParagraphFont"/>
    <w:link w:val="Heading2"/>
    <w:uiPriority w:val="9"/>
    <w:rsid w:val="002A7796"/>
    <w:rPr>
      <w:rFonts w:ascii="Bookman Old Style" w:eastAsiaTheme="majorEastAsia" w:hAnsi="Bookman Old Style" w:cstheme="majorBidi"/>
      <w:b/>
      <w:color w:val="ED7D31" w:themeColor="accent2"/>
      <w:sz w:val="24"/>
      <w:szCs w:val="26"/>
    </w:rPr>
  </w:style>
  <w:style w:type="character" w:customStyle="1" w:styleId="Heading3Char">
    <w:name w:val="Heading 3 Char"/>
    <w:basedOn w:val="DefaultParagraphFont"/>
    <w:link w:val="Heading3"/>
    <w:uiPriority w:val="9"/>
    <w:rsid w:val="00BA2A8F"/>
    <w:rPr>
      <w:rFonts w:ascii="Bookman Old Style" w:eastAsiaTheme="majorEastAsia" w:hAnsi="Bookman Old Style" w:cstheme="majorBidi"/>
      <w:b/>
      <w:color w:val="ED7D31" w:themeColor="accent2"/>
      <w:sz w:val="24"/>
      <w:szCs w:val="24"/>
    </w:rPr>
  </w:style>
  <w:style w:type="table" w:styleId="TableGrid">
    <w:name w:val="Table Grid"/>
    <w:basedOn w:val="TableNormal"/>
    <w:uiPriority w:val="39"/>
    <w:rsid w:val="002D5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ADD"/>
  </w:style>
  <w:style w:type="paragraph" w:styleId="Footer">
    <w:name w:val="footer"/>
    <w:basedOn w:val="Normal"/>
    <w:link w:val="FooterChar"/>
    <w:uiPriority w:val="99"/>
    <w:unhideWhenUsed/>
    <w:rsid w:val="002D5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ADD"/>
  </w:style>
  <w:style w:type="paragraph" w:styleId="NormalWeb">
    <w:name w:val="Normal (Web)"/>
    <w:basedOn w:val="Normal"/>
    <w:uiPriority w:val="99"/>
    <w:unhideWhenUsed/>
    <w:rsid w:val="008210E8"/>
    <w:pPr>
      <w:spacing w:after="22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44A8"/>
    <w:rPr>
      <w:b/>
      <w:bCs/>
    </w:rPr>
  </w:style>
  <w:style w:type="character" w:styleId="Emphasis">
    <w:name w:val="Emphasis"/>
    <w:basedOn w:val="DefaultParagraphFont"/>
    <w:uiPriority w:val="20"/>
    <w:qFormat/>
    <w:rsid w:val="00B918E3"/>
    <w:rPr>
      <w:i/>
      <w:iCs/>
    </w:rPr>
  </w:style>
  <w:style w:type="paragraph" w:styleId="NoSpacing">
    <w:name w:val="No Spacing"/>
    <w:link w:val="NoSpacingChar"/>
    <w:uiPriority w:val="1"/>
    <w:qFormat/>
    <w:rsid w:val="00720190"/>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720190"/>
    <w:rPr>
      <w:rFonts w:ascii="Calibri" w:eastAsia="Times New Roman" w:hAnsi="Calibri" w:cs="Times New Roman"/>
    </w:rPr>
  </w:style>
  <w:style w:type="paragraph" w:customStyle="1" w:styleId="NoSpacing1">
    <w:name w:val="No Spacing1"/>
    <w:uiPriority w:val="1"/>
    <w:qFormat/>
    <w:rsid w:val="00720190"/>
    <w:pPr>
      <w:spacing w:after="0" w:line="240" w:lineRule="auto"/>
    </w:pPr>
    <w:rPr>
      <w:rFonts w:ascii="Calibri" w:eastAsia="Times New Roman" w:hAnsi="Calibri" w:cs="Times New Roman"/>
    </w:rPr>
  </w:style>
  <w:style w:type="paragraph" w:styleId="ListParagraph">
    <w:name w:val="List Paragraph"/>
    <w:aliases w:val="AB List 1,Bullet Points,ProcessA,Paragraphe de liste,Liste couleur - Accent 1,Liste couleur - Accent 14,List Bulet,Puces,References,- List tir,List Bullet Mary,NUMBERED PARAGRAPH,List Paragraph 1,List Paragraph (numbered (a)),lp1,Bullets"/>
    <w:basedOn w:val="Normal"/>
    <w:link w:val="ListParagraphChar"/>
    <w:uiPriority w:val="34"/>
    <w:qFormat/>
    <w:rsid w:val="00CC6737"/>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AB List 1 Char,Bullet Points Char,ProcessA Char,Paragraphe de liste Char,Liste couleur - Accent 1 Char,Liste couleur - Accent 14 Char,List Bulet Char,Puces Char,References Char,- List tir Char,List Bullet Mary Char,lp1 Char"/>
    <w:link w:val="ListParagraph"/>
    <w:uiPriority w:val="34"/>
    <w:qFormat/>
    <w:rsid w:val="00DF6BEE"/>
    <w:rPr>
      <w:rFonts w:ascii="Times New Roman" w:eastAsia="Times New Roman" w:hAnsi="Times New Roman" w:cs="Times New Roman"/>
      <w:sz w:val="24"/>
      <w:szCs w:val="24"/>
    </w:rPr>
  </w:style>
  <w:style w:type="paragraph" w:styleId="FootnoteText">
    <w:name w:val="footnote text"/>
    <w:aliases w:val="single space,FOOTNOTES,fn,footnote text,Footnote Text Char1,Footnote Text Char Char,Footnote Text 1,Footnote,Footnote Text qer,f,Footnote Text Char2 Char,Footnote Text Char1 Char Char,Footnote Text Char2 Char Char Char,ALTS FOOTNOTE,ft,ADB"/>
    <w:basedOn w:val="Normal"/>
    <w:link w:val="FootnoteTextChar"/>
    <w:uiPriority w:val="99"/>
    <w:unhideWhenUsed/>
    <w:qFormat/>
    <w:rsid w:val="00DF6BEE"/>
    <w:pPr>
      <w:spacing w:after="0" w:line="240" w:lineRule="auto"/>
    </w:pPr>
    <w:rPr>
      <w:sz w:val="20"/>
      <w:szCs w:val="20"/>
    </w:rPr>
  </w:style>
  <w:style w:type="character" w:customStyle="1" w:styleId="FootnoteTextChar">
    <w:name w:val="Footnote Text Char"/>
    <w:aliases w:val="single space Char,FOOTNOTES Char,fn Char,footnote text Char,Footnote Text Char1 Char,Footnote Text Char Char Char,Footnote Text 1 Char,Footnote Char,Footnote Text qer Char,f Char,Footnote Text Char2 Char Char,ALTS FOOTNOTE Char"/>
    <w:basedOn w:val="DefaultParagraphFont"/>
    <w:link w:val="FootnoteText"/>
    <w:uiPriority w:val="99"/>
    <w:rsid w:val="00DF6BEE"/>
    <w:rPr>
      <w:sz w:val="20"/>
      <w:szCs w:val="20"/>
    </w:rPr>
  </w:style>
  <w:style w:type="character" w:styleId="FootnoteReference">
    <w:name w:val="footnote reference"/>
    <w:aliases w:val="ftref,Error-Fußnotenzeichen5,Error-Fußnotenzeichen6,Error-Fußnotenzeichen3,Footnote Reference1,BVI fnr,Footnote Reference Number,Footnote Reference_LVL6,Footnote Reference_LVL61,Footnote Reference_LVL62,Footnote Reference_LVL63,fr,Ref"/>
    <w:basedOn w:val="DefaultParagraphFont"/>
    <w:link w:val="CharChar1CharCharCharChar1CharCharCharCharCharCharCharChar"/>
    <w:uiPriority w:val="99"/>
    <w:unhideWhenUsed/>
    <w:qFormat/>
    <w:rsid w:val="00DF6BEE"/>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DF6BEE"/>
    <w:pPr>
      <w:spacing w:line="240" w:lineRule="exact"/>
    </w:pPr>
    <w:rPr>
      <w:vertAlign w:val="superscript"/>
    </w:rPr>
  </w:style>
  <w:style w:type="paragraph" w:styleId="Caption">
    <w:name w:val="caption"/>
    <w:aliases w:val="Caption Char2,Caption Char1 Char,Caption Char Char Char1,Caption Char Char1,Caption Char Char Char Char,Caption Char Char Char,Caption1 Char,Caption1,Table title,Figure Head,Table,LVT Table Heading,WB Caption,AICD,quarterly chart caption"/>
    <w:basedOn w:val="Normal"/>
    <w:next w:val="Normal"/>
    <w:link w:val="CaptionChar"/>
    <w:uiPriority w:val="35"/>
    <w:unhideWhenUsed/>
    <w:qFormat/>
    <w:rsid w:val="008B6B6D"/>
    <w:pPr>
      <w:keepNext/>
      <w:keepLines/>
      <w:spacing w:after="40" w:line="240" w:lineRule="auto"/>
    </w:pPr>
    <w:rPr>
      <w:rFonts w:ascii="Bookman Old Style" w:hAnsi="Bookman Old Style"/>
      <w:b/>
      <w:bCs/>
      <w:color w:val="323E4F" w:themeColor="text2" w:themeShade="BF"/>
      <w:sz w:val="20"/>
      <w:szCs w:val="18"/>
    </w:rPr>
  </w:style>
  <w:style w:type="character" w:customStyle="1" w:styleId="CaptionChar">
    <w:name w:val="Caption Char"/>
    <w:aliases w:val="Caption Char2 Char,Caption Char1 Char Char,Caption Char Char Char1 Char,Caption Char Char1 Char,Caption Char Char Char Char Char,Caption Char Char Char Char1,Caption1 Char Char,Caption1 Char1,Table title Char,Figure Head Char,Table Char"/>
    <w:basedOn w:val="DefaultParagraphFont"/>
    <w:link w:val="Caption"/>
    <w:uiPriority w:val="35"/>
    <w:locked/>
    <w:rsid w:val="008B6B6D"/>
    <w:rPr>
      <w:rFonts w:ascii="Bookman Old Style" w:hAnsi="Bookman Old Style"/>
      <w:b/>
      <w:bCs/>
      <w:color w:val="323E4F" w:themeColor="text2" w:themeShade="BF"/>
      <w:sz w:val="20"/>
      <w:szCs w:val="18"/>
    </w:rPr>
  </w:style>
  <w:style w:type="table" w:customStyle="1" w:styleId="TableGrid1">
    <w:name w:val="Table Grid1"/>
    <w:basedOn w:val="TableNormal"/>
    <w:next w:val="TableGrid"/>
    <w:uiPriority w:val="59"/>
    <w:rsid w:val="00B54B8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text">
    <w:name w:val="story-body-text"/>
    <w:basedOn w:val="Normal"/>
    <w:rsid w:val="00D744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14758"/>
    <w:pPr>
      <w:autoSpaceDE w:val="0"/>
      <w:autoSpaceDN w:val="0"/>
      <w:adjustRightInd w:val="0"/>
      <w:spacing w:after="0" w:line="240" w:lineRule="auto"/>
    </w:pPr>
    <w:rPr>
      <w:rFonts w:ascii="Cambria" w:hAnsi="Cambria" w:cs="Cambria"/>
      <w:color w:val="000000"/>
      <w:sz w:val="24"/>
      <w:szCs w:val="24"/>
    </w:rPr>
  </w:style>
  <w:style w:type="paragraph" w:customStyle="1" w:styleId="Pa15">
    <w:name w:val="Pa15"/>
    <w:basedOn w:val="Default"/>
    <w:next w:val="Default"/>
    <w:uiPriority w:val="99"/>
    <w:rsid w:val="00E14758"/>
    <w:pPr>
      <w:spacing w:line="401" w:lineRule="atLeast"/>
    </w:pPr>
    <w:rPr>
      <w:rFonts w:ascii="Frutiger CE 45 Light" w:hAnsi="Frutiger CE 45 Light" w:cstheme="minorBidi"/>
      <w:color w:val="auto"/>
    </w:rPr>
  </w:style>
  <w:style w:type="paragraph" w:customStyle="1" w:styleId="Pa1">
    <w:name w:val="Pa1"/>
    <w:basedOn w:val="Default"/>
    <w:next w:val="Default"/>
    <w:uiPriority w:val="99"/>
    <w:rsid w:val="00E14758"/>
    <w:pPr>
      <w:spacing w:line="191" w:lineRule="atLeast"/>
    </w:pPr>
    <w:rPr>
      <w:rFonts w:ascii="Frutiger CE 45 Light" w:hAnsi="Frutiger CE 45 Light" w:cstheme="minorBidi"/>
      <w:color w:val="auto"/>
    </w:rPr>
  </w:style>
  <w:style w:type="character" w:customStyle="1" w:styleId="tgc">
    <w:name w:val="_tgc"/>
    <w:basedOn w:val="DefaultParagraphFont"/>
    <w:rsid w:val="00E14758"/>
  </w:style>
  <w:style w:type="paragraph" w:styleId="EndnoteText">
    <w:name w:val="endnote text"/>
    <w:basedOn w:val="Normal"/>
    <w:link w:val="EndnoteTextChar"/>
    <w:uiPriority w:val="99"/>
    <w:semiHidden/>
    <w:unhideWhenUsed/>
    <w:rsid w:val="00E1475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4758"/>
    <w:rPr>
      <w:sz w:val="20"/>
      <w:szCs w:val="20"/>
    </w:rPr>
  </w:style>
  <w:style w:type="character" w:styleId="EndnoteReference">
    <w:name w:val="endnote reference"/>
    <w:basedOn w:val="DefaultParagraphFont"/>
    <w:uiPriority w:val="99"/>
    <w:semiHidden/>
    <w:unhideWhenUsed/>
    <w:rsid w:val="00E14758"/>
    <w:rPr>
      <w:vertAlign w:val="superscript"/>
    </w:rPr>
  </w:style>
  <w:style w:type="character" w:customStyle="1" w:styleId="A4">
    <w:name w:val="A4"/>
    <w:uiPriority w:val="99"/>
    <w:rsid w:val="005B4AA7"/>
    <w:rPr>
      <w:rFonts w:cs="HelveticaNeueLT Pro 65 Md"/>
      <w:color w:val="000000"/>
      <w:sz w:val="20"/>
      <w:szCs w:val="20"/>
    </w:rPr>
  </w:style>
  <w:style w:type="character" w:styleId="IntenseReference">
    <w:name w:val="Intense Reference"/>
    <w:basedOn w:val="DefaultParagraphFont"/>
    <w:uiPriority w:val="32"/>
    <w:qFormat/>
    <w:rsid w:val="00C82D47"/>
    <w:rPr>
      <w:b/>
      <w:bCs/>
      <w:smallCaps/>
      <w:color w:val="4472C4" w:themeColor="accent1"/>
      <w:spacing w:val="5"/>
    </w:rPr>
  </w:style>
  <w:style w:type="paragraph" w:styleId="TOCHeading">
    <w:name w:val="TOC Heading"/>
    <w:basedOn w:val="Heading1"/>
    <w:next w:val="Normal"/>
    <w:uiPriority w:val="39"/>
    <w:unhideWhenUsed/>
    <w:qFormat/>
    <w:rsid w:val="00C82D47"/>
    <w:pPr>
      <w:spacing w:before="240" w:line="259" w:lineRule="auto"/>
      <w:outlineLvl w:val="9"/>
    </w:pPr>
    <w:rPr>
      <w:rFonts w:asciiTheme="majorHAnsi" w:eastAsiaTheme="majorEastAsia" w:hAnsiTheme="majorHAnsi"/>
      <w:b w:val="0"/>
      <w:color w:val="2F5496" w:themeColor="accent1" w:themeShade="BF"/>
      <w:sz w:val="32"/>
      <w:szCs w:val="32"/>
    </w:rPr>
  </w:style>
  <w:style w:type="paragraph" w:styleId="TOC1">
    <w:name w:val="toc 1"/>
    <w:basedOn w:val="Normal"/>
    <w:next w:val="Normal"/>
    <w:autoRedefine/>
    <w:uiPriority w:val="39"/>
    <w:unhideWhenUsed/>
    <w:rsid w:val="00C82D47"/>
    <w:pPr>
      <w:spacing w:after="100"/>
    </w:pPr>
  </w:style>
  <w:style w:type="character" w:styleId="Hyperlink">
    <w:name w:val="Hyperlink"/>
    <w:basedOn w:val="DefaultParagraphFont"/>
    <w:uiPriority w:val="99"/>
    <w:unhideWhenUsed/>
    <w:rsid w:val="00C82D47"/>
    <w:rPr>
      <w:color w:val="0563C1" w:themeColor="hyperlink"/>
      <w:u w:val="single"/>
    </w:rPr>
  </w:style>
  <w:style w:type="paragraph" w:styleId="TOC2">
    <w:name w:val="toc 2"/>
    <w:basedOn w:val="Normal"/>
    <w:next w:val="Normal"/>
    <w:autoRedefine/>
    <w:uiPriority w:val="39"/>
    <w:unhideWhenUsed/>
    <w:rsid w:val="00E84183"/>
    <w:pPr>
      <w:spacing w:after="100"/>
      <w:ind w:left="220"/>
    </w:pPr>
  </w:style>
  <w:style w:type="paragraph" w:styleId="TOC3">
    <w:name w:val="toc 3"/>
    <w:basedOn w:val="Normal"/>
    <w:next w:val="Normal"/>
    <w:autoRedefine/>
    <w:uiPriority w:val="39"/>
    <w:unhideWhenUsed/>
    <w:rsid w:val="00E84183"/>
    <w:pPr>
      <w:spacing w:after="100"/>
      <w:ind w:left="440"/>
    </w:pPr>
  </w:style>
  <w:style w:type="paragraph" w:styleId="TableofFigures">
    <w:name w:val="table of figures"/>
    <w:basedOn w:val="Normal"/>
    <w:next w:val="Normal"/>
    <w:uiPriority w:val="99"/>
    <w:unhideWhenUsed/>
    <w:rsid w:val="00E21D26"/>
    <w:pPr>
      <w:spacing w:after="0"/>
    </w:pPr>
  </w:style>
  <w:style w:type="paragraph" w:styleId="BalloonText">
    <w:name w:val="Balloon Text"/>
    <w:basedOn w:val="Normal"/>
    <w:link w:val="BalloonTextChar"/>
    <w:uiPriority w:val="99"/>
    <w:semiHidden/>
    <w:unhideWhenUsed/>
    <w:rsid w:val="007A0CCB"/>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7A0CCB"/>
    <w:rPr>
      <w:rFonts w:ascii="Segoe UI" w:eastAsia="Calibri" w:hAnsi="Segoe UI" w:cs="Segoe UI"/>
      <w:sz w:val="18"/>
      <w:szCs w:val="18"/>
    </w:rPr>
  </w:style>
  <w:style w:type="character" w:customStyle="1" w:styleId="Heading5Char">
    <w:name w:val="Heading 5 Char"/>
    <w:basedOn w:val="DefaultParagraphFont"/>
    <w:link w:val="Heading5"/>
    <w:uiPriority w:val="9"/>
    <w:semiHidden/>
    <w:rsid w:val="00C3324D"/>
    <w:rPr>
      <w:rFonts w:asciiTheme="majorHAnsi" w:eastAsiaTheme="majorEastAsia" w:hAnsiTheme="majorHAnsi" w:cstheme="majorBidi"/>
      <w:color w:val="2F5496" w:themeColor="accent1" w:themeShade="BF"/>
      <w:sz w:val="24"/>
      <w:szCs w:val="20"/>
    </w:rPr>
  </w:style>
  <w:style w:type="paragraph" w:customStyle="1" w:styleId="FSAheading1">
    <w:name w:val="FSAheading1"/>
    <w:basedOn w:val="Heading1"/>
    <w:link w:val="FSAheading1Char"/>
    <w:qFormat/>
    <w:rsid w:val="00C3324D"/>
    <w:pPr>
      <w:keepLines w:val="0"/>
      <w:numPr>
        <w:numId w:val="9"/>
      </w:numPr>
      <w:shd w:val="clear" w:color="auto" w:fill="auto"/>
      <w:spacing w:after="240" w:line="240" w:lineRule="auto"/>
    </w:pPr>
    <w:rPr>
      <w:rFonts w:ascii="Times New Roman" w:eastAsia="Times New Roman" w:hAnsi="Times New Roman" w:cs="Arial"/>
      <w:bCs/>
      <w:smallCaps/>
      <w:color w:val="2F5496" w:themeColor="accent1" w:themeShade="BF"/>
      <w:kern w:val="28"/>
      <w:sz w:val="24"/>
      <w:szCs w:val="32"/>
    </w:rPr>
  </w:style>
  <w:style w:type="character" w:customStyle="1" w:styleId="FSAheading1Char">
    <w:name w:val="FSAheading1 Char"/>
    <w:basedOn w:val="Heading1Char"/>
    <w:link w:val="FSAheading1"/>
    <w:rsid w:val="00C3324D"/>
    <w:rPr>
      <w:rFonts w:ascii="Times New Roman" w:eastAsia="Times New Roman" w:hAnsi="Times New Roman" w:cs="Arial"/>
      <w:b/>
      <w:bCs/>
      <w:smallCaps/>
      <w:color w:val="2F5496" w:themeColor="accent1" w:themeShade="BF"/>
      <w:kern w:val="28"/>
      <w:sz w:val="24"/>
      <w:szCs w:val="32"/>
      <w:shd w:val="clear" w:color="auto" w:fill="FFC000" w:themeFill="accent4"/>
    </w:rPr>
  </w:style>
  <w:style w:type="paragraph" w:customStyle="1" w:styleId="Fighead">
    <w:name w:val="Fighead"/>
    <w:basedOn w:val="Normal"/>
    <w:qFormat/>
    <w:rsid w:val="00C3324D"/>
    <w:pPr>
      <w:spacing w:after="0" w:line="240" w:lineRule="auto"/>
      <w:jc w:val="both"/>
    </w:pPr>
    <w:rPr>
      <w:rFonts w:ascii="Times New Roman" w:eastAsia="Times New Roman" w:hAnsi="Times New Roman"/>
      <w:b/>
      <w:sz w:val="24"/>
      <w:lang w:eastAsia="es-ES"/>
    </w:rPr>
  </w:style>
  <w:style w:type="character" w:styleId="CommentReference">
    <w:name w:val="annotation reference"/>
    <w:basedOn w:val="DefaultParagraphFont"/>
    <w:uiPriority w:val="99"/>
    <w:semiHidden/>
    <w:unhideWhenUsed/>
    <w:rsid w:val="00C3324D"/>
    <w:rPr>
      <w:sz w:val="16"/>
      <w:szCs w:val="16"/>
    </w:rPr>
  </w:style>
  <w:style w:type="paragraph" w:styleId="CommentText">
    <w:name w:val="annotation text"/>
    <w:basedOn w:val="Normal"/>
    <w:link w:val="CommentTextChar"/>
    <w:uiPriority w:val="99"/>
    <w:semiHidden/>
    <w:unhideWhenUsed/>
    <w:rsid w:val="00C3324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C3324D"/>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C3324D"/>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C3324D"/>
    <w:rPr>
      <w:b/>
      <w:bCs/>
    </w:rPr>
  </w:style>
  <w:style w:type="paragraph" w:customStyle="1" w:styleId="FSAparagraph">
    <w:name w:val="FSAparagraph"/>
    <w:basedOn w:val="Normal"/>
    <w:link w:val="FSAparagraphChar"/>
    <w:qFormat/>
    <w:rsid w:val="00C3324D"/>
    <w:pPr>
      <w:numPr>
        <w:numId w:val="12"/>
      </w:numPr>
      <w:tabs>
        <w:tab w:val="clear" w:pos="720"/>
        <w:tab w:val="num" w:pos="360"/>
      </w:tabs>
      <w:spacing w:after="240" w:line="240" w:lineRule="auto"/>
    </w:pPr>
    <w:rPr>
      <w:rFonts w:ascii="Times New Roman" w:eastAsia="Times New Roman" w:hAnsi="Times New Roman" w:cs="Times New Roman"/>
      <w:sz w:val="24"/>
      <w:szCs w:val="20"/>
    </w:rPr>
  </w:style>
  <w:style w:type="character" w:customStyle="1" w:styleId="FSAparagraphChar">
    <w:name w:val="FSAparagraph Char"/>
    <w:basedOn w:val="DefaultParagraphFont"/>
    <w:link w:val="FSAparagraph"/>
    <w:rsid w:val="00C3324D"/>
    <w:rPr>
      <w:rFonts w:ascii="Times New Roman" w:eastAsia="Times New Roman" w:hAnsi="Times New Roman" w:cs="Times New Roman"/>
      <w:sz w:val="24"/>
      <w:szCs w:val="20"/>
    </w:rPr>
  </w:style>
  <w:style w:type="character" w:customStyle="1" w:styleId="ilfuvd">
    <w:name w:val="ilfuvd"/>
    <w:basedOn w:val="DefaultParagraphFont"/>
    <w:rsid w:val="00C3324D"/>
  </w:style>
  <w:style w:type="character" w:customStyle="1" w:styleId="st">
    <w:name w:val="st"/>
    <w:basedOn w:val="DefaultParagraphFont"/>
    <w:rsid w:val="00C33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0509">
      <w:bodyDiv w:val="1"/>
      <w:marLeft w:val="0"/>
      <w:marRight w:val="0"/>
      <w:marTop w:val="0"/>
      <w:marBottom w:val="0"/>
      <w:divBdr>
        <w:top w:val="none" w:sz="0" w:space="0" w:color="auto"/>
        <w:left w:val="none" w:sz="0" w:space="0" w:color="auto"/>
        <w:bottom w:val="none" w:sz="0" w:space="0" w:color="auto"/>
        <w:right w:val="none" w:sz="0" w:space="0" w:color="auto"/>
      </w:divBdr>
      <w:divsChild>
        <w:div w:id="35667010">
          <w:marLeft w:val="0"/>
          <w:marRight w:val="0"/>
          <w:marTop w:val="0"/>
          <w:marBottom w:val="0"/>
          <w:divBdr>
            <w:top w:val="none" w:sz="0" w:space="0" w:color="auto"/>
            <w:left w:val="none" w:sz="0" w:space="0" w:color="auto"/>
            <w:bottom w:val="none" w:sz="0" w:space="0" w:color="auto"/>
            <w:right w:val="none" w:sz="0" w:space="0" w:color="auto"/>
          </w:divBdr>
        </w:div>
        <w:div w:id="114760892">
          <w:marLeft w:val="0"/>
          <w:marRight w:val="0"/>
          <w:marTop w:val="0"/>
          <w:marBottom w:val="0"/>
          <w:divBdr>
            <w:top w:val="none" w:sz="0" w:space="0" w:color="auto"/>
            <w:left w:val="none" w:sz="0" w:space="0" w:color="auto"/>
            <w:bottom w:val="none" w:sz="0" w:space="0" w:color="auto"/>
            <w:right w:val="none" w:sz="0" w:space="0" w:color="auto"/>
          </w:divBdr>
        </w:div>
        <w:div w:id="148598589">
          <w:marLeft w:val="0"/>
          <w:marRight w:val="0"/>
          <w:marTop w:val="0"/>
          <w:marBottom w:val="0"/>
          <w:divBdr>
            <w:top w:val="none" w:sz="0" w:space="0" w:color="auto"/>
            <w:left w:val="none" w:sz="0" w:space="0" w:color="auto"/>
            <w:bottom w:val="none" w:sz="0" w:space="0" w:color="auto"/>
            <w:right w:val="none" w:sz="0" w:space="0" w:color="auto"/>
          </w:divBdr>
        </w:div>
        <w:div w:id="194660100">
          <w:marLeft w:val="0"/>
          <w:marRight w:val="0"/>
          <w:marTop w:val="0"/>
          <w:marBottom w:val="0"/>
          <w:divBdr>
            <w:top w:val="none" w:sz="0" w:space="0" w:color="auto"/>
            <w:left w:val="none" w:sz="0" w:space="0" w:color="auto"/>
            <w:bottom w:val="none" w:sz="0" w:space="0" w:color="auto"/>
            <w:right w:val="none" w:sz="0" w:space="0" w:color="auto"/>
          </w:divBdr>
        </w:div>
        <w:div w:id="307443555">
          <w:marLeft w:val="0"/>
          <w:marRight w:val="0"/>
          <w:marTop w:val="0"/>
          <w:marBottom w:val="0"/>
          <w:divBdr>
            <w:top w:val="none" w:sz="0" w:space="0" w:color="auto"/>
            <w:left w:val="none" w:sz="0" w:space="0" w:color="auto"/>
            <w:bottom w:val="none" w:sz="0" w:space="0" w:color="auto"/>
            <w:right w:val="none" w:sz="0" w:space="0" w:color="auto"/>
          </w:divBdr>
        </w:div>
        <w:div w:id="431513054">
          <w:marLeft w:val="0"/>
          <w:marRight w:val="0"/>
          <w:marTop w:val="0"/>
          <w:marBottom w:val="0"/>
          <w:divBdr>
            <w:top w:val="none" w:sz="0" w:space="0" w:color="auto"/>
            <w:left w:val="none" w:sz="0" w:space="0" w:color="auto"/>
            <w:bottom w:val="none" w:sz="0" w:space="0" w:color="auto"/>
            <w:right w:val="none" w:sz="0" w:space="0" w:color="auto"/>
          </w:divBdr>
        </w:div>
        <w:div w:id="673000491">
          <w:marLeft w:val="0"/>
          <w:marRight w:val="0"/>
          <w:marTop w:val="0"/>
          <w:marBottom w:val="0"/>
          <w:divBdr>
            <w:top w:val="none" w:sz="0" w:space="0" w:color="auto"/>
            <w:left w:val="none" w:sz="0" w:space="0" w:color="auto"/>
            <w:bottom w:val="none" w:sz="0" w:space="0" w:color="auto"/>
            <w:right w:val="none" w:sz="0" w:space="0" w:color="auto"/>
          </w:divBdr>
        </w:div>
        <w:div w:id="769472063">
          <w:marLeft w:val="0"/>
          <w:marRight w:val="0"/>
          <w:marTop w:val="0"/>
          <w:marBottom w:val="0"/>
          <w:divBdr>
            <w:top w:val="none" w:sz="0" w:space="0" w:color="auto"/>
            <w:left w:val="none" w:sz="0" w:space="0" w:color="auto"/>
            <w:bottom w:val="none" w:sz="0" w:space="0" w:color="auto"/>
            <w:right w:val="none" w:sz="0" w:space="0" w:color="auto"/>
          </w:divBdr>
        </w:div>
        <w:div w:id="835069322">
          <w:marLeft w:val="0"/>
          <w:marRight w:val="0"/>
          <w:marTop w:val="0"/>
          <w:marBottom w:val="0"/>
          <w:divBdr>
            <w:top w:val="none" w:sz="0" w:space="0" w:color="auto"/>
            <w:left w:val="none" w:sz="0" w:space="0" w:color="auto"/>
            <w:bottom w:val="none" w:sz="0" w:space="0" w:color="auto"/>
            <w:right w:val="none" w:sz="0" w:space="0" w:color="auto"/>
          </w:divBdr>
        </w:div>
        <w:div w:id="835463901">
          <w:marLeft w:val="0"/>
          <w:marRight w:val="0"/>
          <w:marTop w:val="0"/>
          <w:marBottom w:val="0"/>
          <w:divBdr>
            <w:top w:val="none" w:sz="0" w:space="0" w:color="auto"/>
            <w:left w:val="none" w:sz="0" w:space="0" w:color="auto"/>
            <w:bottom w:val="none" w:sz="0" w:space="0" w:color="auto"/>
            <w:right w:val="none" w:sz="0" w:space="0" w:color="auto"/>
          </w:divBdr>
        </w:div>
        <w:div w:id="844367892">
          <w:marLeft w:val="0"/>
          <w:marRight w:val="0"/>
          <w:marTop w:val="0"/>
          <w:marBottom w:val="0"/>
          <w:divBdr>
            <w:top w:val="none" w:sz="0" w:space="0" w:color="auto"/>
            <w:left w:val="none" w:sz="0" w:space="0" w:color="auto"/>
            <w:bottom w:val="none" w:sz="0" w:space="0" w:color="auto"/>
            <w:right w:val="none" w:sz="0" w:space="0" w:color="auto"/>
          </w:divBdr>
        </w:div>
        <w:div w:id="1075591323">
          <w:marLeft w:val="0"/>
          <w:marRight w:val="0"/>
          <w:marTop w:val="0"/>
          <w:marBottom w:val="0"/>
          <w:divBdr>
            <w:top w:val="none" w:sz="0" w:space="0" w:color="auto"/>
            <w:left w:val="none" w:sz="0" w:space="0" w:color="auto"/>
            <w:bottom w:val="none" w:sz="0" w:space="0" w:color="auto"/>
            <w:right w:val="none" w:sz="0" w:space="0" w:color="auto"/>
          </w:divBdr>
        </w:div>
        <w:div w:id="1105927944">
          <w:marLeft w:val="0"/>
          <w:marRight w:val="0"/>
          <w:marTop w:val="0"/>
          <w:marBottom w:val="0"/>
          <w:divBdr>
            <w:top w:val="none" w:sz="0" w:space="0" w:color="auto"/>
            <w:left w:val="none" w:sz="0" w:space="0" w:color="auto"/>
            <w:bottom w:val="none" w:sz="0" w:space="0" w:color="auto"/>
            <w:right w:val="none" w:sz="0" w:space="0" w:color="auto"/>
          </w:divBdr>
        </w:div>
        <w:div w:id="1156991565">
          <w:marLeft w:val="0"/>
          <w:marRight w:val="0"/>
          <w:marTop w:val="0"/>
          <w:marBottom w:val="0"/>
          <w:divBdr>
            <w:top w:val="none" w:sz="0" w:space="0" w:color="auto"/>
            <w:left w:val="none" w:sz="0" w:space="0" w:color="auto"/>
            <w:bottom w:val="none" w:sz="0" w:space="0" w:color="auto"/>
            <w:right w:val="none" w:sz="0" w:space="0" w:color="auto"/>
          </w:divBdr>
        </w:div>
        <w:div w:id="1303462326">
          <w:marLeft w:val="0"/>
          <w:marRight w:val="0"/>
          <w:marTop w:val="0"/>
          <w:marBottom w:val="0"/>
          <w:divBdr>
            <w:top w:val="none" w:sz="0" w:space="0" w:color="auto"/>
            <w:left w:val="none" w:sz="0" w:space="0" w:color="auto"/>
            <w:bottom w:val="none" w:sz="0" w:space="0" w:color="auto"/>
            <w:right w:val="none" w:sz="0" w:space="0" w:color="auto"/>
          </w:divBdr>
        </w:div>
        <w:div w:id="1345666781">
          <w:marLeft w:val="0"/>
          <w:marRight w:val="0"/>
          <w:marTop w:val="0"/>
          <w:marBottom w:val="0"/>
          <w:divBdr>
            <w:top w:val="none" w:sz="0" w:space="0" w:color="auto"/>
            <w:left w:val="none" w:sz="0" w:space="0" w:color="auto"/>
            <w:bottom w:val="none" w:sz="0" w:space="0" w:color="auto"/>
            <w:right w:val="none" w:sz="0" w:space="0" w:color="auto"/>
          </w:divBdr>
        </w:div>
        <w:div w:id="1352033099">
          <w:marLeft w:val="0"/>
          <w:marRight w:val="0"/>
          <w:marTop w:val="0"/>
          <w:marBottom w:val="0"/>
          <w:divBdr>
            <w:top w:val="none" w:sz="0" w:space="0" w:color="auto"/>
            <w:left w:val="none" w:sz="0" w:space="0" w:color="auto"/>
            <w:bottom w:val="none" w:sz="0" w:space="0" w:color="auto"/>
            <w:right w:val="none" w:sz="0" w:space="0" w:color="auto"/>
          </w:divBdr>
        </w:div>
        <w:div w:id="1477184893">
          <w:marLeft w:val="0"/>
          <w:marRight w:val="0"/>
          <w:marTop w:val="0"/>
          <w:marBottom w:val="0"/>
          <w:divBdr>
            <w:top w:val="none" w:sz="0" w:space="0" w:color="auto"/>
            <w:left w:val="none" w:sz="0" w:space="0" w:color="auto"/>
            <w:bottom w:val="none" w:sz="0" w:space="0" w:color="auto"/>
            <w:right w:val="none" w:sz="0" w:space="0" w:color="auto"/>
          </w:divBdr>
        </w:div>
        <w:div w:id="1525291543">
          <w:marLeft w:val="0"/>
          <w:marRight w:val="0"/>
          <w:marTop w:val="0"/>
          <w:marBottom w:val="0"/>
          <w:divBdr>
            <w:top w:val="none" w:sz="0" w:space="0" w:color="auto"/>
            <w:left w:val="none" w:sz="0" w:space="0" w:color="auto"/>
            <w:bottom w:val="none" w:sz="0" w:space="0" w:color="auto"/>
            <w:right w:val="none" w:sz="0" w:space="0" w:color="auto"/>
          </w:divBdr>
        </w:div>
        <w:div w:id="1557087444">
          <w:marLeft w:val="0"/>
          <w:marRight w:val="0"/>
          <w:marTop w:val="0"/>
          <w:marBottom w:val="0"/>
          <w:divBdr>
            <w:top w:val="none" w:sz="0" w:space="0" w:color="auto"/>
            <w:left w:val="none" w:sz="0" w:space="0" w:color="auto"/>
            <w:bottom w:val="none" w:sz="0" w:space="0" w:color="auto"/>
            <w:right w:val="none" w:sz="0" w:space="0" w:color="auto"/>
          </w:divBdr>
        </w:div>
        <w:div w:id="1902985619">
          <w:marLeft w:val="0"/>
          <w:marRight w:val="0"/>
          <w:marTop w:val="0"/>
          <w:marBottom w:val="0"/>
          <w:divBdr>
            <w:top w:val="none" w:sz="0" w:space="0" w:color="auto"/>
            <w:left w:val="none" w:sz="0" w:space="0" w:color="auto"/>
            <w:bottom w:val="none" w:sz="0" w:space="0" w:color="auto"/>
            <w:right w:val="none" w:sz="0" w:space="0" w:color="auto"/>
          </w:divBdr>
        </w:div>
        <w:div w:id="2005861682">
          <w:marLeft w:val="0"/>
          <w:marRight w:val="0"/>
          <w:marTop w:val="0"/>
          <w:marBottom w:val="0"/>
          <w:divBdr>
            <w:top w:val="none" w:sz="0" w:space="0" w:color="auto"/>
            <w:left w:val="none" w:sz="0" w:space="0" w:color="auto"/>
            <w:bottom w:val="none" w:sz="0" w:space="0" w:color="auto"/>
            <w:right w:val="none" w:sz="0" w:space="0" w:color="auto"/>
          </w:divBdr>
        </w:div>
        <w:div w:id="2055881061">
          <w:marLeft w:val="0"/>
          <w:marRight w:val="0"/>
          <w:marTop w:val="0"/>
          <w:marBottom w:val="0"/>
          <w:divBdr>
            <w:top w:val="none" w:sz="0" w:space="0" w:color="auto"/>
            <w:left w:val="none" w:sz="0" w:space="0" w:color="auto"/>
            <w:bottom w:val="none" w:sz="0" w:space="0" w:color="auto"/>
            <w:right w:val="none" w:sz="0" w:space="0" w:color="auto"/>
          </w:divBdr>
        </w:div>
        <w:div w:id="2070028548">
          <w:marLeft w:val="0"/>
          <w:marRight w:val="0"/>
          <w:marTop w:val="0"/>
          <w:marBottom w:val="0"/>
          <w:divBdr>
            <w:top w:val="none" w:sz="0" w:space="0" w:color="auto"/>
            <w:left w:val="none" w:sz="0" w:space="0" w:color="auto"/>
            <w:bottom w:val="none" w:sz="0" w:space="0" w:color="auto"/>
            <w:right w:val="none" w:sz="0" w:space="0" w:color="auto"/>
          </w:divBdr>
        </w:div>
      </w:divsChild>
    </w:div>
    <w:div w:id="128280773">
      <w:bodyDiv w:val="1"/>
      <w:marLeft w:val="0"/>
      <w:marRight w:val="0"/>
      <w:marTop w:val="0"/>
      <w:marBottom w:val="0"/>
      <w:divBdr>
        <w:top w:val="none" w:sz="0" w:space="0" w:color="auto"/>
        <w:left w:val="none" w:sz="0" w:space="0" w:color="auto"/>
        <w:bottom w:val="none" w:sz="0" w:space="0" w:color="auto"/>
        <w:right w:val="none" w:sz="0" w:space="0" w:color="auto"/>
      </w:divBdr>
      <w:divsChild>
        <w:div w:id="667756413">
          <w:marLeft w:val="446"/>
          <w:marRight w:val="0"/>
          <w:marTop w:val="0"/>
          <w:marBottom w:val="160"/>
          <w:divBdr>
            <w:top w:val="none" w:sz="0" w:space="0" w:color="auto"/>
            <w:left w:val="none" w:sz="0" w:space="0" w:color="auto"/>
            <w:bottom w:val="none" w:sz="0" w:space="0" w:color="auto"/>
            <w:right w:val="none" w:sz="0" w:space="0" w:color="auto"/>
          </w:divBdr>
        </w:div>
        <w:div w:id="847527940">
          <w:marLeft w:val="446"/>
          <w:marRight w:val="0"/>
          <w:marTop w:val="0"/>
          <w:marBottom w:val="160"/>
          <w:divBdr>
            <w:top w:val="none" w:sz="0" w:space="0" w:color="auto"/>
            <w:left w:val="none" w:sz="0" w:space="0" w:color="auto"/>
            <w:bottom w:val="none" w:sz="0" w:space="0" w:color="auto"/>
            <w:right w:val="none" w:sz="0" w:space="0" w:color="auto"/>
          </w:divBdr>
        </w:div>
      </w:divsChild>
    </w:div>
    <w:div w:id="208693296">
      <w:bodyDiv w:val="1"/>
      <w:marLeft w:val="0"/>
      <w:marRight w:val="0"/>
      <w:marTop w:val="0"/>
      <w:marBottom w:val="0"/>
      <w:divBdr>
        <w:top w:val="none" w:sz="0" w:space="0" w:color="auto"/>
        <w:left w:val="none" w:sz="0" w:space="0" w:color="auto"/>
        <w:bottom w:val="none" w:sz="0" w:space="0" w:color="auto"/>
        <w:right w:val="none" w:sz="0" w:space="0" w:color="auto"/>
      </w:divBdr>
    </w:div>
    <w:div w:id="245963122">
      <w:bodyDiv w:val="1"/>
      <w:marLeft w:val="0"/>
      <w:marRight w:val="0"/>
      <w:marTop w:val="0"/>
      <w:marBottom w:val="0"/>
      <w:divBdr>
        <w:top w:val="none" w:sz="0" w:space="0" w:color="auto"/>
        <w:left w:val="none" w:sz="0" w:space="0" w:color="auto"/>
        <w:bottom w:val="none" w:sz="0" w:space="0" w:color="auto"/>
        <w:right w:val="none" w:sz="0" w:space="0" w:color="auto"/>
      </w:divBdr>
    </w:div>
    <w:div w:id="267741871">
      <w:bodyDiv w:val="1"/>
      <w:marLeft w:val="0"/>
      <w:marRight w:val="0"/>
      <w:marTop w:val="0"/>
      <w:marBottom w:val="0"/>
      <w:divBdr>
        <w:top w:val="none" w:sz="0" w:space="0" w:color="auto"/>
        <w:left w:val="none" w:sz="0" w:space="0" w:color="auto"/>
        <w:bottom w:val="none" w:sz="0" w:space="0" w:color="auto"/>
        <w:right w:val="none" w:sz="0" w:space="0" w:color="auto"/>
      </w:divBdr>
    </w:div>
    <w:div w:id="271715416">
      <w:bodyDiv w:val="1"/>
      <w:marLeft w:val="0"/>
      <w:marRight w:val="0"/>
      <w:marTop w:val="0"/>
      <w:marBottom w:val="0"/>
      <w:divBdr>
        <w:top w:val="none" w:sz="0" w:space="0" w:color="auto"/>
        <w:left w:val="none" w:sz="0" w:space="0" w:color="auto"/>
        <w:bottom w:val="none" w:sz="0" w:space="0" w:color="auto"/>
        <w:right w:val="none" w:sz="0" w:space="0" w:color="auto"/>
      </w:divBdr>
    </w:div>
    <w:div w:id="427431305">
      <w:bodyDiv w:val="1"/>
      <w:marLeft w:val="0"/>
      <w:marRight w:val="0"/>
      <w:marTop w:val="0"/>
      <w:marBottom w:val="0"/>
      <w:divBdr>
        <w:top w:val="none" w:sz="0" w:space="0" w:color="auto"/>
        <w:left w:val="none" w:sz="0" w:space="0" w:color="auto"/>
        <w:bottom w:val="none" w:sz="0" w:space="0" w:color="auto"/>
        <w:right w:val="none" w:sz="0" w:space="0" w:color="auto"/>
      </w:divBdr>
    </w:div>
    <w:div w:id="563026055">
      <w:bodyDiv w:val="1"/>
      <w:marLeft w:val="0"/>
      <w:marRight w:val="0"/>
      <w:marTop w:val="0"/>
      <w:marBottom w:val="0"/>
      <w:divBdr>
        <w:top w:val="none" w:sz="0" w:space="0" w:color="auto"/>
        <w:left w:val="none" w:sz="0" w:space="0" w:color="auto"/>
        <w:bottom w:val="none" w:sz="0" w:space="0" w:color="auto"/>
        <w:right w:val="none" w:sz="0" w:space="0" w:color="auto"/>
      </w:divBdr>
    </w:div>
    <w:div w:id="723870071">
      <w:bodyDiv w:val="1"/>
      <w:marLeft w:val="0"/>
      <w:marRight w:val="0"/>
      <w:marTop w:val="0"/>
      <w:marBottom w:val="0"/>
      <w:divBdr>
        <w:top w:val="none" w:sz="0" w:space="0" w:color="auto"/>
        <w:left w:val="none" w:sz="0" w:space="0" w:color="auto"/>
        <w:bottom w:val="none" w:sz="0" w:space="0" w:color="auto"/>
        <w:right w:val="none" w:sz="0" w:space="0" w:color="auto"/>
      </w:divBdr>
      <w:divsChild>
        <w:div w:id="993991893">
          <w:marLeft w:val="187"/>
          <w:marRight w:val="0"/>
          <w:marTop w:val="0"/>
          <w:marBottom w:val="0"/>
          <w:divBdr>
            <w:top w:val="none" w:sz="0" w:space="0" w:color="auto"/>
            <w:left w:val="none" w:sz="0" w:space="0" w:color="auto"/>
            <w:bottom w:val="none" w:sz="0" w:space="0" w:color="auto"/>
            <w:right w:val="none" w:sz="0" w:space="0" w:color="auto"/>
          </w:divBdr>
        </w:div>
      </w:divsChild>
    </w:div>
    <w:div w:id="877551170">
      <w:bodyDiv w:val="1"/>
      <w:marLeft w:val="0"/>
      <w:marRight w:val="0"/>
      <w:marTop w:val="0"/>
      <w:marBottom w:val="0"/>
      <w:divBdr>
        <w:top w:val="none" w:sz="0" w:space="0" w:color="auto"/>
        <w:left w:val="none" w:sz="0" w:space="0" w:color="auto"/>
        <w:bottom w:val="none" w:sz="0" w:space="0" w:color="auto"/>
        <w:right w:val="none" w:sz="0" w:space="0" w:color="auto"/>
      </w:divBdr>
    </w:div>
    <w:div w:id="933705245">
      <w:bodyDiv w:val="1"/>
      <w:marLeft w:val="0"/>
      <w:marRight w:val="0"/>
      <w:marTop w:val="0"/>
      <w:marBottom w:val="0"/>
      <w:divBdr>
        <w:top w:val="none" w:sz="0" w:space="0" w:color="auto"/>
        <w:left w:val="none" w:sz="0" w:space="0" w:color="auto"/>
        <w:bottom w:val="none" w:sz="0" w:space="0" w:color="auto"/>
        <w:right w:val="none" w:sz="0" w:space="0" w:color="auto"/>
      </w:divBdr>
      <w:divsChild>
        <w:div w:id="1218665670">
          <w:marLeft w:val="0"/>
          <w:marRight w:val="0"/>
          <w:marTop w:val="0"/>
          <w:marBottom w:val="0"/>
          <w:divBdr>
            <w:top w:val="none" w:sz="0" w:space="0" w:color="auto"/>
            <w:left w:val="none" w:sz="0" w:space="0" w:color="auto"/>
            <w:bottom w:val="none" w:sz="0" w:space="0" w:color="auto"/>
            <w:right w:val="none" w:sz="0" w:space="0" w:color="auto"/>
          </w:divBdr>
          <w:divsChild>
            <w:div w:id="732773562">
              <w:marLeft w:val="0"/>
              <w:marRight w:val="0"/>
              <w:marTop w:val="0"/>
              <w:marBottom w:val="0"/>
              <w:divBdr>
                <w:top w:val="none" w:sz="0" w:space="0" w:color="auto"/>
                <w:left w:val="none" w:sz="0" w:space="0" w:color="auto"/>
                <w:bottom w:val="none" w:sz="0" w:space="0" w:color="auto"/>
                <w:right w:val="none" w:sz="0" w:space="0" w:color="auto"/>
              </w:divBdr>
              <w:divsChild>
                <w:div w:id="1303001854">
                  <w:marLeft w:val="0"/>
                  <w:marRight w:val="0"/>
                  <w:marTop w:val="0"/>
                  <w:marBottom w:val="0"/>
                  <w:divBdr>
                    <w:top w:val="none" w:sz="0" w:space="0" w:color="auto"/>
                    <w:left w:val="none" w:sz="0" w:space="0" w:color="auto"/>
                    <w:bottom w:val="none" w:sz="0" w:space="0" w:color="auto"/>
                    <w:right w:val="none" w:sz="0" w:space="0" w:color="auto"/>
                  </w:divBdr>
                  <w:divsChild>
                    <w:div w:id="1309895319">
                      <w:marLeft w:val="0"/>
                      <w:marRight w:val="0"/>
                      <w:marTop w:val="0"/>
                      <w:marBottom w:val="0"/>
                      <w:divBdr>
                        <w:top w:val="none" w:sz="0" w:space="0" w:color="auto"/>
                        <w:left w:val="none" w:sz="0" w:space="0" w:color="auto"/>
                        <w:bottom w:val="none" w:sz="0" w:space="0" w:color="auto"/>
                        <w:right w:val="none" w:sz="0" w:space="0" w:color="auto"/>
                      </w:divBdr>
                      <w:divsChild>
                        <w:div w:id="1642463701">
                          <w:marLeft w:val="0"/>
                          <w:marRight w:val="0"/>
                          <w:marTop w:val="0"/>
                          <w:marBottom w:val="0"/>
                          <w:divBdr>
                            <w:top w:val="none" w:sz="0" w:space="0" w:color="auto"/>
                            <w:left w:val="none" w:sz="0" w:space="0" w:color="auto"/>
                            <w:bottom w:val="none" w:sz="0" w:space="0" w:color="auto"/>
                            <w:right w:val="none" w:sz="0" w:space="0" w:color="auto"/>
                          </w:divBdr>
                          <w:divsChild>
                            <w:div w:id="1983535840">
                              <w:marLeft w:val="0"/>
                              <w:marRight w:val="0"/>
                              <w:marTop w:val="0"/>
                              <w:marBottom w:val="0"/>
                              <w:divBdr>
                                <w:top w:val="none" w:sz="0" w:space="0" w:color="auto"/>
                                <w:left w:val="none" w:sz="0" w:space="0" w:color="auto"/>
                                <w:bottom w:val="none" w:sz="0" w:space="0" w:color="auto"/>
                                <w:right w:val="none" w:sz="0" w:space="0" w:color="auto"/>
                              </w:divBdr>
                              <w:divsChild>
                                <w:div w:id="946275995">
                                  <w:marLeft w:val="0"/>
                                  <w:marRight w:val="0"/>
                                  <w:marTop w:val="0"/>
                                  <w:marBottom w:val="0"/>
                                  <w:divBdr>
                                    <w:top w:val="none" w:sz="0" w:space="0" w:color="auto"/>
                                    <w:left w:val="none" w:sz="0" w:space="0" w:color="auto"/>
                                    <w:bottom w:val="none" w:sz="0" w:space="0" w:color="auto"/>
                                    <w:right w:val="none" w:sz="0" w:space="0" w:color="auto"/>
                                  </w:divBdr>
                                  <w:divsChild>
                                    <w:div w:id="519244332">
                                      <w:marLeft w:val="0"/>
                                      <w:marRight w:val="0"/>
                                      <w:marTop w:val="0"/>
                                      <w:marBottom w:val="0"/>
                                      <w:divBdr>
                                        <w:top w:val="none" w:sz="0" w:space="0" w:color="auto"/>
                                        <w:left w:val="none" w:sz="0" w:space="0" w:color="auto"/>
                                        <w:bottom w:val="none" w:sz="0" w:space="0" w:color="auto"/>
                                        <w:right w:val="none" w:sz="0" w:space="0" w:color="auto"/>
                                      </w:divBdr>
                                      <w:divsChild>
                                        <w:div w:id="1910143192">
                                          <w:marLeft w:val="0"/>
                                          <w:marRight w:val="0"/>
                                          <w:marTop w:val="0"/>
                                          <w:marBottom w:val="0"/>
                                          <w:divBdr>
                                            <w:top w:val="none" w:sz="0" w:space="0" w:color="auto"/>
                                            <w:left w:val="none" w:sz="0" w:space="0" w:color="auto"/>
                                            <w:bottom w:val="none" w:sz="0" w:space="0" w:color="auto"/>
                                            <w:right w:val="none" w:sz="0" w:space="0" w:color="auto"/>
                                          </w:divBdr>
                                          <w:divsChild>
                                            <w:div w:id="1088773239">
                                              <w:marLeft w:val="0"/>
                                              <w:marRight w:val="0"/>
                                              <w:marTop w:val="0"/>
                                              <w:marBottom w:val="0"/>
                                              <w:divBdr>
                                                <w:top w:val="none" w:sz="0" w:space="0" w:color="auto"/>
                                                <w:left w:val="none" w:sz="0" w:space="0" w:color="auto"/>
                                                <w:bottom w:val="none" w:sz="0" w:space="0" w:color="auto"/>
                                                <w:right w:val="none" w:sz="0" w:space="0" w:color="auto"/>
                                              </w:divBdr>
                                              <w:divsChild>
                                                <w:div w:id="858272570">
                                                  <w:marLeft w:val="0"/>
                                                  <w:marRight w:val="0"/>
                                                  <w:marTop w:val="0"/>
                                                  <w:marBottom w:val="0"/>
                                                  <w:divBdr>
                                                    <w:top w:val="none" w:sz="0" w:space="0" w:color="auto"/>
                                                    <w:left w:val="none" w:sz="0" w:space="0" w:color="auto"/>
                                                    <w:bottom w:val="none" w:sz="0" w:space="0" w:color="auto"/>
                                                    <w:right w:val="none" w:sz="0" w:space="0" w:color="auto"/>
                                                  </w:divBdr>
                                                  <w:divsChild>
                                                    <w:div w:id="93524654">
                                                      <w:marLeft w:val="0"/>
                                                      <w:marRight w:val="0"/>
                                                      <w:marTop w:val="0"/>
                                                      <w:marBottom w:val="0"/>
                                                      <w:divBdr>
                                                        <w:top w:val="none" w:sz="0" w:space="0" w:color="auto"/>
                                                        <w:left w:val="none" w:sz="0" w:space="0" w:color="auto"/>
                                                        <w:bottom w:val="none" w:sz="0" w:space="0" w:color="auto"/>
                                                        <w:right w:val="none" w:sz="0" w:space="0" w:color="auto"/>
                                                      </w:divBdr>
                                                      <w:divsChild>
                                                        <w:div w:id="1408531655">
                                                          <w:marLeft w:val="0"/>
                                                          <w:marRight w:val="0"/>
                                                          <w:marTop w:val="0"/>
                                                          <w:marBottom w:val="0"/>
                                                          <w:divBdr>
                                                            <w:top w:val="none" w:sz="0" w:space="0" w:color="auto"/>
                                                            <w:left w:val="none" w:sz="0" w:space="0" w:color="auto"/>
                                                            <w:bottom w:val="none" w:sz="0" w:space="0" w:color="auto"/>
                                                            <w:right w:val="none" w:sz="0" w:space="0" w:color="auto"/>
                                                          </w:divBdr>
                                                          <w:divsChild>
                                                            <w:div w:id="214519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3558107">
      <w:bodyDiv w:val="1"/>
      <w:marLeft w:val="0"/>
      <w:marRight w:val="0"/>
      <w:marTop w:val="0"/>
      <w:marBottom w:val="0"/>
      <w:divBdr>
        <w:top w:val="none" w:sz="0" w:space="0" w:color="auto"/>
        <w:left w:val="none" w:sz="0" w:space="0" w:color="auto"/>
        <w:bottom w:val="none" w:sz="0" w:space="0" w:color="auto"/>
        <w:right w:val="none" w:sz="0" w:space="0" w:color="auto"/>
      </w:divBdr>
    </w:div>
    <w:div w:id="1098401870">
      <w:bodyDiv w:val="1"/>
      <w:marLeft w:val="0"/>
      <w:marRight w:val="0"/>
      <w:marTop w:val="0"/>
      <w:marBottom w:val="0"/>
      <w:divBdr>
        <w:top w:val="none" w:sz="0" w:space="0" w:color="auto"/>
        <w:left w:val="none" w:sz="0" w:space="0" w:color="auto"/>
        <w:bottom w:val="none" w:sz="0" w:space="0" w:color="auto"/>
        <w:right w:val="none" w:sz="0" w:space="0" w:color="auto"/>
      </w:divBdr>
    </w:div>
    <w:div w:id="1128742209">
      <w:bodyDiv w:val="1"/>
      <w:marLeft w:val="0"/>
      <w:marRight w:val="0"/>
      <w:marTop w:val="0"/>
      <w:marBottom w:val="0"/>
      <w:divBdr>
        <w:top w:val="none" w:sz="0" w:space="0" w:color="auto"/>
        <w:left w:val="none" w:sz="0" w:space="0" w:color="auto"/>
        <w:bottom w:val="none" w:sz="0" w:space="0" w:color="auto"/>
        <w:right w:val="none" w:sz="0" w:space="0" w:color="auto"/>
      </w:divBdr>
    </w:div>
    <w:div w:id="1159267210">
      <w:bodyDiv w:val="1"/>
      <w:marLeft w:val="0"/>
      <w:marRight w:val="0"/>
      <w:marTop w:val="0"/>
      <w:marBottom w:val="0"/>
      <w:divBdr>
        <w:top w:val="none" w:sz="0" w:space="0" w:color="auto"/>
        <w:left w:val="none" w:sz="0" w:space="0" w:color="auto"/>
        <w:bottom w:val="none" w:sz="0" w:space="0" w:color="auto"/>
        <w:right w:val="none" w:sz="0" w:space="0" w:color="auto"/>
      </w:divBdr>
      <w:divsChild>
        <w:div w:id="82148518">
          <w:marLeft w:val="547"/>
          <w:marRight w:val="0"/>
          <w:marTop w:val="0"/>
          <w:marBottom w:val="0"/>
          <w:divBdr>
            <w:top w:val="none" w:sz="0" w:space="0" w:color="auto"/>
            <w:left w:val="none" w:sz="0" w:space="0" w:color="auto"/>
            <w:bottom w:val="none" w:sz="0" w:space="0" w:color="auto"/>
            <w:right w:val="none" w:sz="0" w:space="0" w:color="auto"/>
          </w:divBdr>
        </w:div>
        <w:div w:id="742260840">
          <w:marLeft w:val="547"/>
          <w:marRight w:val="0"/>
          <w:marTop w:val="0"/>
          <w:marBottom w:val="0"/>
          <w:divBdr>
            <w:top w:val="none" w:sz="0" w:space="0" w:color="auto"/>
            <w:left w:val="none" w:sz="0" w:space="0" w:color="auto"/>
            <w:bottom w:val="none" w:sz="0" w:space="0" w:color="auto"/>
            <w:right w:val="none" w:sz="0" w:space="0" w:color="auto"/>
          </w:divBdr>
        </w:div>
        <w:div w:id="1156990627">
          <w:marLeft w:val="547"/>
          <w:marRight w:val="0"/>
          <w:marTop w:val="0"/>
          <w:marBottom w:val="0"/>
          <w:divBdr>
            <w:top w:val="none" w:sz="0" w:space="0" w:color="auto"/>
            <w:left w:val="none" w:sz="0" w:space="0" w:color="auto"/>
            <w:bottom w:val="none" w:sz="0" w:space="0" w:color="auto"/>
            <w:right w:val="none" w:sz="0" w:space="0" w:color="auto"/>
          </w:divBdr>
        </w:div>
        <w:div w:id="1152408839">
          <w:marLeft w:val="547"/>
          <w:marRight w:val="0"/>
          <w:marTop w:val="0"/>
          <w:marBottom w:val="0"/>
          <w:divBdr>
            <w:top w:val="none" w:sz="0" w:space="0" w:color="auto"/>
            <w:left w:val="none" w:sz="0" w:space="0" w:color="auto"/>
            <w:bottom w:val="none" w:sz="0" w:space="0" w:color="auto"/>
            <w:right w:val="none" w:sz="0" w:space="0" w:color="auto"/>
          </w:divBdr>
        </w:div>
        <w:div w:id="1084566309">
          <w:marLeft w:val="547"/>
          <w:marRight w:val="0"/>
          <w:marTop w:val="0"/>
          <w:marBottom w:val="0"/>
          <w:divBdr>
            <w:top w:val="none" w:sz="0" w:space="0" w:color="auto"/>
            <w:left w:val="none" w:sz="0" w:space="0" w:color="auto"/>
            <w:bottom w:val="none" w:sz="0" w:space="0" w:color="auto"/>
            <w:right w:val="none" w:sz="0" w:space="0" w:color="auto"/>
          </w:divBdr>
        </w:div>
      </w:divsChild>
    </w:div>
    <w:div w:id="1231185843">
      <w:bodyDiv w:val="1"/>
      <w:marLeft w:val="0"/>
      <w:marRight w:val="0"/>
      <w:marTop w:val="0"/>
      <w:marBottom w:val="0"/>
      <w:divBdr>
        <w:top w:val="none" w:sz="0" w:space="0" w:color="auto"/>
        <w:left w:val="none" w:sz="0" w:space="0" w:color="auto"/>
        <w:bottom w:val="none" w:sz="0" w:space="0" w:color="auto"/>
        <w:right w:val="none" w:sz="0" w:space="0" w:color="auto"/>
      </w:divBdr>
    </w:div>
    <w:div w:id="1235047430">
      <w:bodyDiv w:val="1"/>
      <w:marLeft w:val="0"/>
      <w:marRight w:val="0"/>
      <w:marTop w:val="0"/>
      <w:marBottom w:val="0"/>
      <w:divBdr>
        <w:top w:val="none" w:sz="0" w:space="0" w:color="auto"/>
        <w:left w:val="none" w:sz="0" w:space="0" w:color="auto"/>
        <w:bottom w:val="none" w:sz="0" w:space="0" w:color="auto"/>
        <w:right w:val="none" w:sz="0" w:space="0" w:color="auto"/>
      </w:divBdr>
    </w:div>
    <w:div w:id="1249313804">
      <w:bodyDiv w:val="1"/>
      <w:marLeft w:val="0"/>
      <w:marRight w:val="0"/>
      <w:marTop w:val="0"/>
      <w:marBottom w:val="0"/>
      <w:divBdr>
        <w:top w:val="none" w:sz="0" w:space="0" w:color="auto"/>
        <w:left w:val="none" w:sz="0" w:space="0" w:color="auto"/>
        <w:bottom w:val="none" w:sz="0" w:space="0" w:color="auto"/>
        <w:right w:val="none" w:sz="0" w:space="0" w:color="auto"/>
      </w:divBdr>
    </w:div>
    <w:div w:id="1276401375">
      <w:bodyDiv w:val="1"/>
      <w:marLeft w:val="0"/>
      <w:marRight w:val="0"/>
      <w:marTop w:val="0"/>
      <w:marBottom w:val="0"/>
      <w:divBdr>
        <w:top w:val="none" w:sz="0" w:space="0" w:color="auto"/>
        <w:left w:val="none" w:sz="0" w:space="0" w:color="auto"/>
        <w:bottom w:val="none" w:sz="0" w:space="0" w:color="auto"/>
        <w:right w:val="none" w:sz="0" w:space="0" w:color="auto"/>
      </w:divBdr>
    </w:div>
    <w:div w:id="1299068244">
      <w:bodyDiv w:val="1"/>
      <w:marLeft w:val="0"/>
      <w:marRight w:val="0"/>
      <w:marTop w:val="0"/>
      <w:marBottom w:val="0"/>
      <w:divBdr>
        <w:top w:val="none" w:sz="0" w:space="0" w:color="auto"/>
        <w:left w:val="none" w:sz="0" w:space="0" w:color="auto"/>
        <w:bottom w:val="none" w:sz="0" w:space="0" w:color="auto"/>
        <w:right w:val="none" w:sz="0" w:space="0" w:color="auto"/>
      </w:divBdr>
    </w:div>
    <w:div w:id="1308702005">
      <w:bodyDiv w:val="1"/>
      <w:marLeft w:val="0"/>
      <w:marRight w:val="0"/>
      <w:marTop w:val="0"/>
      <w:marBottom w:val="0"/>
      <w:divBdr>
        <w:top w:val="none" w:sz="0" w:space="0" w:color="auto"/>
        <w:left w:val="none" w:sz="0" w:space="0" w:color="auto"/>
        <w:bottom w:val="none" w:sz="0" w:space="0" w:color="auto"/>
        <w:right w:val="none" w:sz="0" w:space="0" w:color="auto"/>
      </w:divBdr>
    </w:div>
    <w:div w:id="1552113942">
      <w:bodyDiv w:val="1"/>
      <w:marLeft w:val="0"/>
      <w:marRight w:val="0"/>
      <w:marTop w:val="0"/>
      <w:marBottom w:val="0"/>
      <w:divBdr>
        <w:top w:val="none" w:sz="0" w:space="0" w:color="auto"/>
        <w:left w:val="none" w:sz="0" w:space="0" w:color="auto"/>
        <w:bottom w:val="none" w:sz="0" w:space="0" w:color="auto"/>
        <w:right w:val="none" w:sz="0" w:space="0" w:color="auto"/>
      </w:divBdr>
      <w:divsChild>
        <w:div w:id="761686396">
          <w:marLeft w:val="0"/>
          <w:marRight w:val="0"/>
          <w:marTop w:val="0"/>
          <w:marBottom w:val="0"/>
          <w:divBdr>
            <w:top w:val="none" w:sz="0" w:space="0" w:color="auto"/>
            <w:left w:val="none" w:sz="0" w:space="0" w:color="auto"/>
            <w:bottom w:val="none" w:sz="0" w:space="0" w:color="auto"/>
            <w:right w:val="none" w:sz="0" w:space="0" w:color="auto"/>
          </w:divBdr>
        </w:div>
        <w:div w:id="1801655459">
          <w:marLeft w:val="0"/>
          <w:marRight w:val="0"/>
          <w:marTop w:val="0"/>
          <w:marBottom w:val="0"/>
          <w:divBdr>
            <w:top w:val="none" w:sz="0" w:space="0" w:color="auto"/>
            <w:left w:val="none" w:sz="0" w:space="0" w:color="auto"/>
            <w:bottom w:val="none" w:sz="0" w:space="0" w:color="auto"/>
            <w:right w:val="none" w:sz="0" w:space="0" w:color="auto"/>
          </w:divBdr>
        </w:div>
        <w:div w:id="1866017240">
          <w:marLeft w:val="0"/>
          <w:marRight w:val="0"/>
          <w:marTop w:val="0"/>
          <w:marBottom w:val="0"/>
          <w:divBdr>
            <w:top w:val="none" w:sz="0" w:space="0" w:color="auto"/>
            <w:left w:val="none" w:sz="0" w:space="0" w:color="auto"/>
            <w:bottom w:val="none" w:sz="0" w:space="0" w:color="auto"/>
            <w:right w:val="none" w:sz="0" w:space="0" w:color="auto"/>
          </w:divBdr>
        </w:div>
      </w:divsChild>
    </w:div>
    <w:div w:id="1621450729">
      <w:bodyDiv w:val="1"/>
      <w:marLeft w:val="0"/>
      <w:marRight w:val="0"/>
      <w:marTop w:val="0"/>
      <w:marBottom w:val="0"/>
      <w:divBdr>
        <w:top w:val="none" w:sz="0" w:space="0" w:color="auto"/>
        <w:left w:val="none" w:sz="0" w:space="0" w:color="auto"/>
        <w:bottom w:val="none" w:sz="0" w:space="0" w:color="auto"/>
        <w:right w:val="none" w:sz="0" w:space="0" w:color="auto"/>
      </w:divBdr>
    </w:div>
    <w:div w:id="1635021686">
      <w:bodyDiv w:val="1"/>
      <w:marLeft w:val="0"/>
      <w:marRight w:val="0"/>
      <w:marTop w:val="0"/>
      <w:marBottom w:val="0"/>
      <w:divBdr>
        <w:top w:val="none" w:sz="0" w:space="0" w:color="auto"/>
        <w:left w:val="none" w:sz="0" w:space="0" w:color="auto"/>
        <w:bottom w:val="none" w:sz="0" w:space="0" w:color="auto"/>
        <w:right w:val="none" w:sz="0" w:space="0" w:color="auto"/>
      </w:divBdr>
    </w:div>
    <w:div w:id="1650088537">
      <w:bodyDiv w:val="1"/>
      <w:marLeft w:val="0"/>
      <w:marRight w:val="0"/>
      <w:marTop w:val="0"/>
      <w:marBottom w:val="0"/>
      <w:divBdr>
        <w:top w:val="none" w:sz="0" w:space="0" w:color="auto"/>
        <w:left w:val="none" w:sz="0" w:space="0" w:color="auto"/>
        <w:bottom w:val="none" w:sz="0" w:space="0" w:color="auto"/>
        <w:right w:val="none" w:sz="0" w:space="0" w:color="auto"/>
      </w:divBdr>
    </w:div>
    <w:div w:id="1730959884">
      <w:bodyDiv w:val="1"/>
      <w:marLeft w:val="0"/>
      <w:marRight w:val="0"/>
      <w:marTop w:val="0"/>
      <w:marBottom w:val="0"/>
      <w:divBdr>
        <w:top w:val="none" w:sz="0" w:space="0" w:color="auto"/>
        <w:left w:val="none" w:sz="0" w:space="0" w:color="auto"/>
        <w:bottom w:val="none" w:sz="0" w:space="0" w:color="auto"/>
        <w:right w:val="none" w:sz="0" w:space="0" w:color="auto"/>
      </w:divBdr>
    </w:div>
    <w:div w:id="1777171370">
      <w:bodyDiv w:val="1"/>
      <w:marLeft w:val="0"/>
      <w:marRight w:val="0"/>
      <w:marTop w:val="0"/>
      <w:marBottom w:val="0"/>
      <w:divBdr>
        <w:top w:val="none" w:sz="0" w:space="0" w:color="auto"/>
        <w:left w:val="none" w:sz="0" w:space="0" w:color="auto"/>
        <w:bottom w:val="none" w:sz="0" w:space="0" w:color="auto"/>
        <w:right w:val="none" w:sz="0" w:space="0" w:color="auto"/>
      </w:divBdr>
    </w:div>
    <w:div w:id="185213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0.xml"/><Relationship Id="rId20" Type="http://schemas.openxmlformats.org/officeDocument/2006/relationships/chart" Target="charts/chart4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0.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0.xml"/><Relationship Id="rId4" Type="http://schemas.openxmlformats.org/officeDocument/2006/relationships/image" Target="media/image1.gif"/><Relationship Id="rId9" Type="http://schemas.openxmlformats.org/officeDocument/2006/relationships/image" Target="media/image2.jpe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0.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Credit Standards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barChart>
        <c:barDir val="bar"/>
        <c:grouping val="clustered"/>
        <c:varyColors val="0"/>
        <c:ser>
          <c:idx val="0"/>
          <c:order val="0"/>
          <c:spPr>
            <a:solidFill>
              <a:srgbClr val="4472C4"/>
            </a:solidFill>
            <a:ln>
              <a:noFill/>
            </a:ln>
            <a:effectLst/>
          </c:spPr>
          <c:invertIfNegative val="0"/>
          <c:dLbls>
            <c:dLbl>
              <c:idx val="2"/>
              <c:tx>
                <c:rich>
                  <a:bodyPr/>
                  <a:lstStyle/>
                  <a:p>
                    <a:r>
                      <a:rPr lang="en-US"/>
                      <a:t>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1B-4B08-A073-BCBCE2CADE1E}"/>
                </c:ext>
              </c:extLst>
            </c:dLbl>
            <c:spPr>
              <a:noFill/>
              <a:ln>
                <a:noFill/>
              </a:ln>
              <a:effectLst/>
            </c:spPr>
            <c:txPr>
              <a:bodyPr rot="0" spcFirstLastPara="1" vertOverflow="ellipsis" vert="horz" wrap="square" anchor="ctr" anchorCtr="1"/>
              <a:lstStyle/>
              <a:p>
                <a:pPr>
                  <a:defRPr sz="1000" b="0" i="0" u="none" strike="noStrike" kern="1200" baseline="0">
                    <a:solidFill>
                      <a:schemeClr val="accent2"/>
                    </a:solidFill>
                    <a:latin typeface="BentonSans Regular" panose="0200050304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SAMMURY!$A$104:$A$108</c:f>
              <c:strCache>
                <c:ptCount val="5"/>
                <c:pt idx="0">
                  <c:v>Tightened considerably</c:v>
                </c:pt>
                <c:pt idx="1">
                  <c:v>Tightened somewhat</c:v>
                </c:pt>
                <c:pt idx="2">
                  <c:v>Remained basically unchanged </c:v>
                </c:pt>
                <c:pt idx="3">
                  <c:v>Eased somewhat</c:v>
                </c:pt>
                <c:pt idx="4">
                  <c:v>Eased considerably</c:v>
                </c:pt>
              </c:strCache>
            </c:strRef>
          </c:cat>
          <c:val>
            <c:numRef>
              <c:f>SAMMURY!$B$104:$B$108</c:f>
              <c:numCache>
                <c:formatCode>_(* #,##0_);_(* \(#,##0\);_(* "-"??_);_(@_)</c:formatCode>
                <c:ptCount val="5"/>
                <c:pt idx="0">
                  <c:v>1</c:v>
                </c:pt>
                <c:pt idx="1">
                  <c:v>2</c:v>
                </c:pt>
                <c:pt idx="2">
                  <c:v>11</c:v>
                </c:pt>
                <c:pt idx="3">
                  <c:v>2</c:v>
                </c:pt>
                <c:pt idx="4">
                  <c:v>0</c:v>
                </c:pt>
              </c:numCache>
            </c:numRef>
          </c:val>
          <c:extLst>
            <c:ext xmlns:c16="http://schemas.microsoft.com/office/drawing/2014/chart" uri="{C3380CC4-5D6E-409C-BE32-E72D297353CC}">
              <c16:uniqueId val="{00000000-3870-48F6-9743-CA56C081F317}"/>
            </c:ext>
          </c:extLst>
        </c:ser>
        <c:dLbls>
          <c:showLegendKey val="0"/>
          <c:showVal val="0"/>
          <c:showCatName val="0"/>
          <c:showSerName val="0"/>
          <c:showPercent val="0"/>
          <c:showBubbleSize val="0"/>
        </c:dLbls>
        <c:gapWidth val="182"/>
        <c:axId val="1156527567"/>
        <c:axId val="1156532559"/>
      </c:barChart>
      <c:catAx>
        <c:axId val="1156527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entonSans Regular" panose="02000503040000020004" pitchFamily="50" charset="0"/>
                <a:ea typeface="+mn-ea"/>
                <a:cs typeface="+mn-cs"/>
              </a:defRPr>
            </a:pPr>
            <a:endParaRPr lang="en-US"/>
          </a:p>
        </c:txPr>
        <c:crossAx val="1156532559"/>
        <c:crosses val="autoZero"/>
        <c:auto val="1"/>
        <c:lblAlgn val="ctr"/>
        <c:lblOffset val="100"/>
        <c:noMultiLvlLbl val="0"/>
      </c:catAx>
      <c:valAx>
        <c:axId val="11565325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b="1">
                    <a:solidFill>
                      <a:sysClr val="windowText" lastClr="000000"/>
                    </a:solidFill>
                  </a:rPr>
                  <a:t>Number of Banks</a:t>
                </a:r>
              </a:p>
            </c:rich>
          </c:tx>
          <c:layout>
            <c:manualLayout>
              <c:xMode val="edge"/>
              <c:yMode val="edge"/>
              <c:x val="0.36275191144585189"/>
              <c:y val="0.904914941187907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1156527567"/>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1000">
          <a:latin typeface="BentonSans Regular" panose="02000503040000020004" pitchFamily="50"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Credit Standards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barChart>
        <c:barDir val="bar"/>
        <c:grouping val="clustered"/>
        <c:varyColors val="0"/>
        <c:ser>
          <c:idx val="0"/>
          <c:order val="0"/>
          <c:spPr>
            <a:solidFill>
              <a:srgbClr val="8064A2">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accent2"/>
                    </a:solidFill>
                    <a:latin typeface="BentonSans Regular" panose="0200050304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SAMMURY!$A$104:$A$108</c:f>
              <c:strCache>
                <c:ptCount val="5"/>
                <c:pt idx="0">
                  <c:v>Tightened considerably</c:v>
                </c:pt>
                <c:pt idx="1">
                  <c:v>Tightened somewhat</c:v>
                </c:pt>
                <c:pt idx="2">
                  <c:v>Remained basically unchanged </c:v>
                </c:pt>
                <c:pt idx="3">
                  <c:v>Eased somewhat</c:v>
                </c:pt>
                <c:pt idx="4">
                  <c:v>Eased considerably</c:v>
                </c:pt>
              </c:strCache>
            </c:strRef>
          </c:cat>
          <c:val>
            <c:numRef>
              <c:f>SAMMURY!$B$104:$B$108</c:f>
              <c:numCache>
                <c:formatCode>_(* #,##0_);_(* \(#,##0\);_(* "-"??_);_(@_)</c:formatCode>
                <c:ptCount val="5"/>
                <c:pt idx="0">
                  <c:v>2</c:v>
                </c:pt>
                <c:pt idx="1">
                  <c:v>2</c:v>
                </c:pt>
                <c:pt idx="2">
                  <c:v>12</c:v>
                </c:pt>
                <c:pt idx="3">
                  <c:v>0</c:v>
                </c:pt>
                <c:pt idx="4">
                  <c:v>0</c:v>
                </c:pt>
              </c:numCache>
            </c:numRef>
          </c:val>
          <c:extLst>
            <c:ext xmlns:c16="http://schemas.microsoft.com/office/drawing/2014/chart" uri="{C3380CC4-5D6E-409C-BE32-E72D297353CC}">
              <c16:uniqueId val="{00000000-3870-48F6-9743-CA56C081F317}"/>
            </c:ext>
          </c:extLst>
        </c:ser>
        <c:dLbls>
          <c:showLegendKey val="0"/>
          <c:showVal val="0"/>
          <c:showCatName val="0"/>
          <c:showSerName val="0"/>
          <c:showPercent val="0"/>
          <c:showBubbleSize val="0"/>
        </c:dLbls>
        <c:gapWidth val="182"/>
        <c:axId val="1156527567"/>
        <c:axId val="1156532559"/>
      </c:barChart>
      <c:catAx>
        <c:axId val="1156527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BentonSans Regular" panose="02000503040000020004" pitchFamily="50" charset="0"/>
                <a:ea typeface="+mn-ea"/>
                <a:cs typeface="+mn-cs"/>
              </a:defRPr>
            </a:pPr>
            <a:endParaRPr lang="en-US"/>
          </a:p>
        </c:txPr>
        <c:crossAx val="1156532559"/>
        <c:crosses val="autoZero"/>
        <c:auto val="1"/>
        <c:lblAlgn val="ctr"/>
        <c:lblOffset val="100"/>
        <c:noMultiLvlLbl val="0"/>
      </c:catAx>
      <c:valAx>
        <c:axId val="11565325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b="1">
                    <a:solidFill>
                      <a:sysClr val="windowText" lastClr="000000"/>
                    </a:solidFill>
                  </a:rPr>
                  <a:t>Number of Banks</a:t>
                </a:r>
              </a:p>
            </c:rich>
          </c:tx>
          <c:layout>
            <c:manualLayout>
              <c:xMode val="edge"/>
              <c:yMode val="edge"/>
              <c:x val="0.36275191144585189"/>
              <c:y val="0.9049149411879070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1156527567"/>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1000">
          <a:latin typeface="BentonSans Regular" panose="02000503040000020004" pitchFamily="50"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Terms and Condititons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pieChart>
        <c:varyColors val="1"/>
        <c:ser>
          <c:idx val="0"/>
          <c:order val="0"/>
          <c:dPt>
            <c:idx val="0"/>
            <c:bubble3D val="0"/>
            <c:spPr>
              <a:solidFill>
                <a:srgbClr val="FFC000"/>
              </a:solidFill>
              <a:ln w="19050">
                <a:solidFill>
                  <a:schemeClr val="lt1"/>
                </a:solidFill>
              </a:ln>
              <a:effectLst/>
            </c:spPr>
            <c:extLst>
              <c:ext xmlns:c16="http://schemas.microsoft.com/office/drawing/2014/chart" uri="{C3380CC4-5D6E-409C-BE32-E72D297353CC}">
                <c16:uniqueId val="{00000001-1AAA-434F-BE64-C6F9481DD0C1}"/>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1AAA-434F-BE64-C6F9481DD0C1}"/>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1AAA-434F-BE64-C6F9481DD0C1}"/>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entonSans Regular" panose="02000503040000020004" pitchFamily="50"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SAMMURY!$A$121:$A$123</c:f>
              <c:strCache>
                <c:ptCount val="3"/>
                <c:pt idx="0">
                  <c:v>Tightened </c:v>
                </c:pt>
                <c:pt idx="1">
                  <c:v>Remained unchanged </c:v>
                </c:pt>
                <c:pt idx="2">
                  <c:v>Eased </c:v>
                </c:pt>
              </c:strCache>
            </c:strRef>
          </c:cat>
          <c:val>
            <c:numRef>
              <c:f>SAMMURY!$B$121:$B$123</c:f>
              <c:numCache>
                <c:formatCode>General</c:formatCode>
                <c:ptCount val="3"/>
                <c:pt idx="0">
                  <c:v>3</c:v>
                </c:pt>
                <c:pt idx="1">
                  <c:v>9</c:v>
                </c:pt>
                <c:pt idx="2">
                  <c:v>4</c:v>
                </c:pt>
              </c:numCache>
            </c:numRef>
          </c:val>
          <c:extLst>
            <c:ext xmlns:c16="http://schemas.microsoft.com/office/drawing/2014/chart" uri="{C3380CC4-5D6E-409C-BE32-E72D297353CC}">
              <c16:uniqueId val="{00000006-1AAA-434F-BE64-C6F9481DD0C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1050">
          <a:latin typeface="BentonSans Regular" panose="02000503040000020004" pitchFamily="50"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Terms and Condititons</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pieChart>
        <c:varyColors val="1"/>
        <c:ser>
          <c:idx val="0"/>
          <c:order val="0"/>
          <c:dPt>
            <c:idx val="0"/>
            <c:bubble3D val="0"/>
            <c:spPr>
              <a:solidFill>
                <a:srgbClr val="F79646">
                  <a:lumMod val="75000"/>
                </a:srgbClr>
              </a:solidFill>
              <a:ln w="19050">
                <a:solidFill>
                  <a:schemeClr val="lt1"/>
                </a:solidFill>
              </a:ln>
              <a:effectLst/>
            </c:spPr>
            <c:extLst>
              <c:ext xmlns:c16="http://schemas.microsoft.com/office/drawing/2014/chart" uri="{C3380CC4-5D6E-409C-BE32-E72D297353CC}">
                <c16:uniqueId val="{00000001-1AAA-434F-BE64-C6F9481DD0C1}"/>
              </c:ext>
            </c:extLst>
          </c:dPt>
          <c:dPt>
            <c:idx val="1"/>
            <c:bubble3D val="0"/>
            <c:spPr>
              <a:solidFill>
                <a:srgbClr val="9BBB59">
                  <a:lumMod val="60000"/>
                  <a:lumOff val="40000"/>
                </a:srgbClr>
              </a:solidFill>
              <a:ln w="19050">
                <a:solidFill>
                  <a:schemeClr val="lt1"/>
                </a:solidFill>
              </a:ln>
              <a:effectLst/>
            </c:spPr>
            <c:extLst>
              <c:ext xmlns:c16="http://schemas.microsoft.com/office/drawing/2014/chart" uri="{C3380CC4-5D6E-409C-BE32-E72D297353CC}">
                <c16:uniqueId val="{00000003-1AAA-434F-BE64-C6F9481DD0C1}"/>
              </c:ext>
            </c:extLst>
          </c:dPt>
          <c:dPt>
            <c:idx val="2"/>
            <c:bubble3D val="0"/>
            <c:spPr>
              <a:solidFill>
                <a:srgbClr val="4BACC6"/>
              </a:solidFill>
              <a:ln w="19050">
                <a:solidFill>
                  <a:schemeClr val="lt1"/>
                </a:solidFill>
              </a:ln>
              <a:effectLst/>
            </c:spPr>
            <c:extLst>
              <c:ext xmlns:c16="http://schemas.microsoft.com/office/drawing/2014/chart" uri="{C3380CC4-5D6E-409C-BE32-E72D297353CC}">
                <c16:uniqueId val="{00000005-1AAA-434F-BE64-C6F9481DD0C1}"/>
              </c:ext>
            </c:extLst>
          </c:dPt>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BentonSans Regular" panose="02000503040000020004" pitchFamily="50"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SAMMURY!$A$121:$A$123</c:f>
              <c:strCache>
                <c:ptCount val="3"/>
                <c:pt idx="0">
                  <c:v>Tightened </c:v>
                </c:pt>
                <c:pt idx="1">
                  <c:v>Remained unchanged </c:v>
                </c:pt>
                <c:pt idx="2">
                  <c:v>Eased </c:v>
                </c:pt>
              </c:strCache>
            </c:strRef>
          </c:cat>
          <c:val>
            <c:numRef>
              <c:f>SAMMURY!$B$121:$B$123</c:f>
              <c:numCache>
                <c:formatCode>General</c:formatCode>
                <c:ptCount val="3"/>
                <c:pt idx="0">
                  <c:v>3</c:v>
                </c:pt>
                <c:pt idx="1">
                  <c:v>11</c:v>
                </c:pt>
                <c:pt idx="2">
                  <c:v>2</c:v>
                </c:pt>
              </c:numCache>
            </c:numRef>
          </c:val>
          <c:extLst>
            <c:ext xmlns:c16="http://schemas.microsoft.com/office/drawing/2014/chart" uri="{C3380CC4-5D6E-409C-BE32-E72D297353CC}">
              <c16:uniqueId val="{00000006-1AAA-434F-BE64-C6F9481DD0C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1050">
          <a:latin typeface="BentonSans Regular" panose="02000503040000020004" pitchFamily="50"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Expectations on Credit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pieChart>
        <c:varyColors val="1"/>
        <c:ser>
          <c:idx val="0"/>
          <c:order val="0"/>
          <c:dPt>
            <c:idx val="0"/>
            <c:bubble3D val="0"/>
            <c:spPr>
              <a:solidFill>
                <a:srgbClr val="FFC000">
                  <a:lumMod val="60000"/>
                  <a:lumOff val="40000"/>
                </a:srgbClr>
              </a:solidFill>
              <a:ln w="19050">
                <a:solidFill>
                  <a:schemeClr val="lt1"/>
                </a:solidFill>
              </a:ln>
              <a:effectLst/>
            </c:spPr>
            <c:extLst>
              <c:ext xmlns:c16="http://schemas.microsoft.com/office/drawing/2014/chart" uri="{C3380CC4-5D6E-409C-BE32-E72D297353CC}">
                <c16:uniqueId val="{00000001-35A9-4926-B709-4A0D7E41A18F}"/>
              </c:ext>
            </c:extLst>
          </c:dPt>
          <c:dPt>
            <c:idx val="1"/>
            <c:bubble3D val="0"/>
            <c:spPr>
              <a:solidFill>
                <a:srgbClr val="4472C4">
                  <a:lumMod val="60000"/>
                  <a:lumOff val="40000"/>
                </a:srgbClr>
              </a:solidFill>
              <a:ln w="19050">
                <a:solidFill>
                  <a:schemeClr val="lt1"/>
                </a:solidFill>
              </a:ln>
              <a:effectLst/>
            </c:spPr>
            <c:extLst>
              <c:ext xmlns:c16="http://schemas.microsoft.com/office/drawing/2014/chart" uri="{C3380CC4-5D6E-409C-BE32-E72D297353CC}">
                <c16:uniqueId val="{00000003-35A9-4926-B709-4A0D7E41A18F}"/>
              </c:ext>
            </c:extLst>
          </c:dPt>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BentonSans Regular" panose="02000503040000020004" pitchFamily="50"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SAMMURY!$A$136:$A$137</c:f>
              <c:strCache>
                <c:ptCount val="2"/>
                <c:pt idx="0">
                  <c:v>Increase</c:v>
                </c:pt>
                <c:pt idx="1">
                  <c:v>Decrease</c:v>
                </c:pt>
              </c:strCache>
            </c:strRef>
          </c:cat>
          <c:val>
            <c:numRef>
              <c:f>SAMMURY!$B$136:$B$137</c:f>
              <c:numCache>
                <c:formatCode>General</c:formatCode>
                <c:ptCount val="2"/>
                <c:pt idx="0">
                  <c:v>14</c:v>
                </c:pt>
                <c:pt idx="1">
                  <c:v>2</c:v>
                </c:pt>
              </c:numCache>
            </c:numRef>
          </c:val>
          <c:extLst>
            <c:ext xmlns:c16="http://schemas.microsoft.com/office/drawing/2014/chart" uri="{C3380CC4-5D6E-409C-BE32-E72D297353CC}">
              <c16:uniqueId val="{00000004-35A9-4926-B709-4A0D7E41A18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800">
          <a:latin typeface="BentonSans Regular" panose="02000503040000020004" pitchFamily="50"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r>
              <a:rPr lang="en-US" sz="1000" b="1">
                <a:solidFill>
                  <a:sysClr val="windowText" lastClr="000000"/>
                </a:solidFill>
              </a:rPr>
              <a:t>Expectations on Credit </a:t>
            </a: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BentonSans Regular" panose="02000503040000020004" pitchFamily="50" charset="0"/>
              <a:ea typeface="+mn-ea"/>
              <a:cs typeface="+mn-cs"/>
            </a:defRPr>
          </a:pPr>
          <a:endParaRPr lang="en-US"/>
        </a:p>
      </c:txPr>
    </c:title>
    <c:autoTitleDeleted val="0"/>
    <c:plotArea>
      <c:layout/>
      <c:pieChart>
        <c:varyColors val="1"/>
        <c:ser>
          <c:idx val="0"/>
          <c:order val="0"/>
          <c:dPt>
            <c:idx val="0"/>
            <c:bubble3D val="0"/>
            <c:spPr>
              <a:solidFill>
                <a:srgbClr val="00B0F0"/>
              </a:solidFill>
              <a:ln w="19050">
                <a:solidFill>
                  <a:schemeClr val="lt1"/>
                </a:solidFill>
              </a:ln>
              <a:effectLst/>
            </c:spPr>
            <c:extLst>
              <c:ext xmlns:c16="http://schemas.microsoft.com/office/drawing/2014/chart" uri="{C3380CC4-5D6E-409C-BE32-E72D297353CC}">
                <c16:uniqueId val="{00000001-35A9-4926-B709-4A0D7E41A18F}"/>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35A9-4926-B709-4A0D7E41A18F}"/>
              </c:ext>
            </c:extLst>
          </c:dPt>
          <c:dLbls>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BentonSans Regular" panose="02000503040000020004" pitchFamily="50"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SAMMURY!$A$136:$A$137</c:f>
              <c:strCache>
                <c:ptCount val="2"/>
                <c:pt idx="0">
                  <c:v>Increase</c:v>
                </c:pt>
                <c:pt idx="1">
                  <c:v>Decrease</c:v>
                </c:pt>
              </c:strCache>
            </c:strRef>
          </c:cat>
          <c:val>
            <c:numRef>
              <c:f>SAMMURY!$B$136:$B$137</c:f>
              <c:numCache>
                <c:formatCode>General</c:formatCode>
                <c:ptCount val="2"/>
                <c:pt idx="0">
                  <c:v>12</c:v>
                </c:pt>
                <c:pt idx="1">
                  <c:v>4</c:v>
                </c:pt>
              </c:numCache>
            </c:numRef>
          </c:val>
          <c:extLst>
            <c:ext xmlns:c16="http://schemas.microsoft.com/office/drawing/2014/chart" uri="{C3380CC4-5D6E-409C-BE32-E72D297353CC}">
              <c16:uniqueId val="{00000004-35A9-4926-B709-4A0D7E41A18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legend>
    <c:plotVisOnly val="1"/>
    <c:dispBlanksAs val="gap"/>
    <c:showDLblsOverMax val="0"/>
  </c:chart>
  <c:spPr>
    <a:noFill/>
    <a:ln w="9525" cap="flat" cmpd="sng" algn="ctr">
      <a:solidFill>
        <a:sysClr val="windowText" lastClr="000000"/>
      </a:solidFill>
      <a:round/>
    </a:ln>
    <a:effectLst/>
  </c:spPr>
  <c:txPr>
    <a:bodyPr/>
    <a:lstStyle/>
    <a:p>
      <a:pPr>
        <a:defRPr sz="800">
          <a:latin typeface="BentonSans Regular" panose="02000503040000020004" pitchFamily="50"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BentonSans Regular" panose="02000503040000020004" pitchFamily="50" charset="0"/>
                <a:ea typeface="+mn-ea"/>
                <a:cs typeface="+mn-cs"/>
              </a:defRPr>
            </a:pPr>
            <a:r>
              <a:rPr lang="en-US" sz="1000" b="1">
                <a:solidFill>
                  <a:sysClr val="windowText" lastClr="000000"/>
                </a:solidFill>
              </a:rPr>
              <a:t>Expectations</a:t>
            </a:r>
            <a:r>
              <a:rPr lang="en-US" sz="1100" b="1">
                <a:solidFill>
                  <a:sysClr val="windowText" lastClr="000000"/>
                </a:solidFill>
              </a:rPr>
              <a:t> on Interest Rate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BentonSans Regular" panose="02000503040000020004" pitchFamily="50" charset="0"/>
              <a:ea typeface="+mn-ea"/>
              <a:cs typeface="+mn-cs"/>
            </a:defRPr>
          </a:pPr>
          <a:endParaRPr lang="en-US"/>
        </a:p>
      </c:txPr>
    </c:title>
    <c:autoTitleDeleted val="0"/>
    <c:plotArea>
      <c:layout/>
      <c:barChart>
        <c:barDir val="col"/>
        <c:grouping val="clustered"/>
        <c:varyColors val="0"/>
        <c:ser>
          <c:idx val="0"/>
          <c:order val="0"/>
          <c:spPr>
            <a:solidFill>
              <a:srgbClr val="ED7D31">
                <a:lumMod val="75000"/>
              </a:srgb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BentonSans Regular" panose="0200050304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SAMMURY!$A$149:$A$151</c:f>
              <c:strCache>
                <c:ptCount val="3"/>
                <c:pt idx="0">
                  <c:v>Increase</c:v>
                </c:pt>
                <c:pt idx="1">
                  <c:v>Decrease</c:v>
                </c:pt>
                <c:pt idx="2">
                  <c:v>Remain unchanged</c:v>
                </c:pt>
              </c:strCache>
            </c:strRef>
          </c:cat>
          <c:val>
            <c:numRef>
              <c:f>SAMMURY!$B$149:$B$151</c:f>
              <c:numCache>
                <c:formatCode>General</c:formatCode>
                <c:ptCount val="3"/>
                <c:pt idx="0">
                  <c:v>0</c:v>
                </c:pt>
                <c:pt idx="1">
                  <c:v>3</c:v>
                </c:pt>
                <c:pt idx="2">
                  <c:v>13</c:v>
                </c:pt>
              </c:numCache>
            </c:numRef>
          </c:val>
          <c:extLst>
            <c:ext xmlns:c16="http://schemas.microsoft.com/office/drawing/2014/chart" uri="{C3380CC4-5D6E-409C-BE32-E72D297353CC}">
              <c16:uniqueId val="{00000000-8621-4D01-9B0D-DDB760F8B7CD}"/>
            </c:ext>
          </c:extLst>
        </c:ser>
        <c:dLbls>
          <c:showLegendKey val="0"/>
          <c:showVal val="0"/>
          <c:showCatName val="0"/>
          <c:showSerName val="0"/>
          <c:showPercent val="0"/>
          <c:showBubbleSize val="0"/>
        </c:dLbls>
        <c:gapWidth val="219"/>
        <c:overlap val="-27"/>
        <c:axId val="1152255007"/>
        <c:axId val="1152260415"/>
      </c:barChart>
      <c:catAx>
        <c:axId val="115225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crossAx val="1152260415"/>
        <c:crosses val="autoZero"/>
        <c:auto val="1"/>
        <c:lblAlgn val="ctr"/>
        <c:lblOffset val="100"/>
        <c:noMultiLvlLbl val="0"/>
      </c:catAx>
      <c:valAx>
        <c:axId val="115226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b="1">
                    <a:solidFill>
                      <a:sysClr val="windowText" lastClr="000000"/>
                    </a:solidFill>
                  </a:rPr>
                  <a:t>Number of Banks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1152255007"/>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1000">
          <a:latin typeface="BentonSans Regular" panose="02000503040000020004" pitchFamily="50"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BentonSans Regular" panose="02000503040000020004" pitchFamily="50" charset="0"/>
                <a:ea typeface="+mn-ea"/>
                <a:cs typeface="+mn-cs"/>
              </a:defRPr>
            </a:pPr>
            <a:r>
              <a:rPr lang="en-US" sz="1000" b="1">
                <a:solidFill>
                  <a:sysClr val="windowText" lastClr="000000"/>
                </a:solidFill>
              </a:rPr>
              <a:t>Expectations</a:t>
            </a:r>
            <a:r>
              <a:rPr lang="en-US" sz="1100" b="1">
                <a:solidFill>
                  <a:sysClr val="windowText" lastClr="000000"/>
                </a:solidFill>
              </a:rPr>
              <a:t> on Interest Rate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BentonSans Regular" panose="02000503040000020004" pitchFamily="50" charset="0"/>
              <a:ea typeface="+mn-ea"/>
              <a:cs typeface="+mn-cs"/>
            </a:defRPr>
          </a:pPr>
          <a:endParaRPr lang="en-US"/>
        </a:p>
      </c:txPr>
    </c:title>
    <c:autoTitleDeleted val="0"/>
    <c:plotArea>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BentonSans Regular" panose="02000503040000020004" pitchFamily="50"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SAMMURY!$A$149:$A$151</c:f>
              <c:strCache>
                <c:ptCount val="3"/>
                <c:pt idx="0">
                  <c:v>Increase</c:v>
                </c:pt>
                <c:pt idx="1">
                  <c:v>Decrease</c:v>
                </c:pt>
                <c:pt idx="2">
                  <c:v>Remain unchanged</c:v>
                </c:pt>
              </c:strCache>
            </c:strRef>
          </c:cat>
          <c:val>
            <c:numRef>
              <c:f>SAMMURY!$B$149:$B$151</c:f>
              <c:numCache>
                <c:formatCode>General</c:formatCode>
                <c:ptCount val="3"/>
                <c:pt idx="0">
                  <c:v>1</c:v>
                </c:pt>
                <c:pt idx="1">
                  <c:v>4</c:v>
                </c:pt>
                <c:pt idx="2">
                  <c:v>11</c:v>
                </c:pt>
              </c:numCache>
            </c:numRef>
          </c:val>
          <c:extLst>
            <c:ext xmlns:c16="http://schemas.microsoft.com/office/drawing/2014/chart" uri="{C3380CC4-5D6E-409C-BE32-E72D297353CC}">
              <c16:uniqueId val="{00000000-8621-4D01-9B0D-DDB760F8B7CD}"/>
            </c:ext>
          </c:extLst>
        </c:ser>
        <c:dLbls>
          <c:showLegendKey val="0"/>
          <c:showVal val="0"/>
          <c:showCatName val="0"/>
          <c:showSerName val="0"/>
          <c:showPercent val="0"/>
          <c:showBubbleSize val="0"/>
        </c:dLbls>
        <c:gapWidth val="219"/>
        <c:overlap val="-27"/>
        <c:axId val="1152255007"/>
        <c:axId val="1152260415"/>
      </c:barChart>
      <c:catAx>
        <c:axId val="1152255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BentonSans Regular" panose="02000503040000020004" pitchFamily="50" charset="0"/>
                <a:ea typeface="+mn-ea"/>
                <a:cs typeface="+mn-cs"/>
              </a:defRPr>
            </a:pPr>
            <a:endParaRPr lang="en-US"/>
          </a:p>
        </c:txPr>
        <c:crossAx val="1152260415"/>
        <c:crosses val="autoZero"/>
        <c:auto val="1"/>
        <c:lblAlgn val="ctr"/>
        <c:lblOffset val="100"/>
        <c:noMultiLvlLbl val="0"/>
      </c:catAx>
      <c:valAx>
        <c:axId val="115226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r>
                  <a:rPr lang="en-US" b="1">
                    <a:solidFill>
                      <a:sysClr val="windowText" lastClr="000000"/>
                    </a:solidFill>
                  </a:rPr>
                  <a:t>Number of Banks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BentonSans Regular" panose="02000503040000020004" pitchFamily="50"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BentonSans Regular" panose="02000503040000020004" pitchFamily="50" charset="0"/>
                <a:ea typeface="+mn-ea"/>
                <a:cs typeface="+mn-cs"/>
              </a:defRPr>
            </a:pPr>
            <a:endParaRPr lang="en-US"/>
          </a:p>
        </c:txPr>
        <c:crossAx val="1152255007"/>
        <c:crosses val="autoZero"/>
        <c:crossBetween val="between"/>
      </c:valAx>
      <c:spPr>
        <a:noFill/>
        <a:ln>
          <a:noFill/>
        </a:ln>
        <a:effectLst/>
      </c:spPr>
    </c:plotArea>
    <c:plotVisOnly val="1"/>
    <c:dispBlanksAs val="gap"/>
    <c:showDLblsOverMax val="0"/>
  </c:chart>
  <c:spPr>
    <a:noFill/>
    <a:ln w="9525" cap="flat" cmpd="sng" algn="ctr">
      <a:solidFill>
        <a:sysClr val="windowText" lastClr="000000"/>
      </a:solidFill>
      <a:round/>
    </a:ln>
    <a:effectLst/>
  </c:spPr>
  <c:txPr>
    <a:bodyPr/>
    <a:lstStyle/>
    <a:p>
      <a:pPr>
        <a:defRPr sz="1000">
          <a:latin typeface="BentonSans Regular" panose="02000503040000020004" pitchFamily="50"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0C725-946A-4D90-8D4A-6942F36E1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5518</TotalTime>
  <Pages>11</Pages>
  <Words>1832</Words>
  <Characters>10447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fmurezi</dc:creator>
  <cp:keywords/>
  <dc:description/>
  <cp:lastModifiedBy>Alfred Hakuzwimana</cp:lastModifiedBy>
  <cp:revision>177</cp:revision>
  <cp:lastPrinted>2017-11-07T09:20:00Z</cp:lastPrinted>
  <dcterms:created xsi:type="dcterms:W3CDTF">2019-02-15T09:34:00Z</dcterms:created>
  <dcterms:modified xsi:type="dcterms:W3CDTF">2019-09-02T04:06:00Z</dcterms:modified>
</cp:coreProperties>
</file>