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06" w:rsidRPr="002F3A06" w:rsidRDefault="00572D3F" w:rsidP="002F3A06">
      <w:pPr>
        <w:spacing w:line="276" w:lineRule="auto"/>
        <w:jc w:val="both"/>
        <w:rPr>
          <w:rFonts w:ascii="BentonSans Book" w:hAnsi="BentonSans Book"/>
        </w:rPr>
      </w:pPr>
      <w:r>
        <w:rPr>
          <w:rFonts w:ascii="BentonSans Book" w:hAnsi="BentonSans Book"/>
          <w:b/>
        </w:rPr>
        <w:t>Consumer Price Index, April</w:t>
      </w:r>
      <w:r w:rsidR="00565B49">
        <w:rPr>
          <w:rFonts w:ascii="BentonSans Book" w:hAnsi="BentonSans Book"/>
          <w:b/>
        </w:rPr>
        <w:t xml:space="preserve"> 2024</w:t>
      </w:r>
    </w:p>
    <w:p w:rsidR="00D054A8" w:rsidRPr="00D054A8" w:rsidRDefault="00D054A8" w:rsidP="00D054A8">
      <w:pPr>
        <w:spacing w:line="276" w:lineRule="auto"/>
        <w:jc w:val="both"/>
        <w:rPr>
          <w:rFonts w:ascii="BentonSans Book" w:hAnsi="BentonSans Book"/>
        </w:rPr>
      </w:pPr>
      <w:r>
        <w:rPr>
          <w:rFonts w:ascii="BentonSans Book" w:hAnsi="BentonSans Book"/>
        </w:rPr>
        <w:t>In April</w:t>
      </w:r>
      <w:r w:rsidRPr="00D054A8">
        <w:rPr>
          <w:rFonts w:ascii="BentonSans Book" w:hAnsi="BentonSans Book"/>
        </w:rPr>
        <w:t xml:space="preserve"> 2024, the Rwandan Urban Consu</w:t>
      </w:r>
      <w:r>
        <w:rPr>
          <w:rFonts w:ascii="BentonSans Book" w:hAnsi="BentonSans Book"/>
        </w:rPr>
        <w:t>mer Price Index increased by 1.4% month-on-month, from an increase of 1</w:t>
      </w:r>
      <w:r w:rsidRPr="00D054A8">
        <w:rPr>
          <w:rFonts w:ascii="BentonSans Book" w:hAnsi="BentonSans Book"/>
        </w:rPr>
        <w:t>.1% of the previous month. Year-on-year, inflation</w:t>
      </w:r>
      <w:r>
        <w:rPr>
          <w:rFonts w:ascii="BentonSans Book" w:hAnsi="BentonSans Book"/>
        </w:rPr>
        <w:t> stood at 4.5% higher than an increase of 4.2</w:t>
      </w:r>
      <w:r w:rsidRPr="00D054A8">
        <w:rPr>
          <w:rFonts w:ascii="BentonSans Book" w:hAnsi="BentonSans Book"/>
        </w:rPr>
        <w:t xml:space="preserve">% recorded in </w:t>
      </w:r>
      <w:r>
        <w:rPr>
          <w:rFonts w:ascii="BentonSans Book" w:hAnsi="BentonSans Book"/>
        </w:rPr>
        <w:t>March</w:t>
      </w:r>
      <w:r w:rsidRPr="00D054A8">
        <w:rPr>
          <w:rFonts w:ascii="BentonSans Book" w:hAnsi="BentonSans Book"/>
        </w:rPr>
        <w:t xml:space="preserve"> 2024.</w:t>
      </w:r>
    </w:p>
    <w:p w:rsidR="00D054A8" w:rsidRPr="00D054A8" w:rsidRDefault="00D054A8" w:rsidP="00D054A8">
      <w:pPr>
        <w:spacing w:line="276" w:lineRule="auto"/>
        <w:jc w:val="both"/>
        <w:rPr>
          <w:rFonts w:ascii="BentonSans Book" w:hAnsi="BentonSans Book"/>
        </w:rPr>
      </w:pPr>
      <w:r w:rsidRPr="00D054A8">
        <w:rPr>
          <w:rFonts w:ascii="BentonSans Book" w:hAnsi="BentonSans Book"/>
        </w:rPr>
        <w:t xml:space="preserve">Compared to the previous month changes, in </w:t>
      </w:r>
      <w:r w:rsidR="00D15ED7">
        <w:rPr>
          <w:rFonts w:ascii="BentonSans Book" w:hAnsi="BentonSans Book"/>
        </w:rPr>
        <w:t>April</w:t>
      </w:r>
      <w:r w:rsidRPr="00D054A8">
        <w:rPr>
          <w:rFonts w:ascii="BentonSans Book" w:hAnsi="BentonSans Book"/>
        </w:rPr>
        <w:t xml:space="preserve"> 2024 prices of local goo</w:t>
      </w:r>
      <w:r w:rsidR="00D15ED7">
        <w:rPr>
          <w:rFonts w:ascii="BentonSans Book" w:hAnsi="BentonSans Book"/>
        </w:rPr>
        <w:t>ds and services increased by 2.5</w:t>
      </w:r>
      <w:r w:rsidRPr="00D054A8">
        <w:rPr>
          <w:rFonts w:ascii="BentonSans Book" w:hAnsi="BentonSans Book"/>
        </w:rPr>
        <w:t>% y-</w:t>
      </w:r>
      <w:r w:rsidR="00D15ED7">
        <w:rPr>
          <w:rFonts w:ascii="BentonSans Book" w:hAnsi="BentonSans Book"/>
        </w:rPr>
        <w:t>o-y, lower than an increase of 2.9</w:t>
      </w:r>
      <w:r w:rsidRPr="00D054A8">
        <w:rPr>
          <w:rFonts w:ascii="BentonSans Book" w:hAnsi="BentonSans Book"/>
        </w:rPr>
        <w:t xml:space="preserve">% y-o-y recorded in </w:t>
      </w:r>
      <w:r w:rsidR="00D15ED7">
        <w:rPr>
          <w:rFonts w:ascii="BentonSans Book" w:hAnsi="BentonSans Book"/>
        </w:rPr>
        <w:t>March</w:t>
      </w:r>
      <w:r w:rsidRPr="00D054A8">
        <w:rPr>
          <w:rFonts w:ascii="BentonSans Book" w:hAnsi="BentonSans Book"/>
        </w:rPr>
        <w:t xml:space="preserve"> 2024 while prices fo</w:t>
      </w:r>
      <w:r w:rsidR="00D15ED7">
        <w:rPr>
          <w:rFonts w:ascii="BentonSans Book" w:hAnsi="BentonSans Book"/>
        </w:rPr>
        <w:t>r imported goods increased by 1</w:t>
      </w:r>
      <w:r w:rsidRPr="00D054A8">
        <w:rPr>
          <w:rFonts w:ascii="BentonSans Book" w:hAnsi="BentonSans Book"/>
        </w:rPr>
        <w:t>1</w:t>
      </w:r>
      <w:r w:rsidR="00262221">
        <w:rPr>
          <w:rFonts w:ascii="BentonSans Book" w:hAnsi="BentonSans Book"/>
        </w:rPr>
        <w:t>.0</w:t>
      </w:r>
      <w:r w:rsidRPr="00D054A8">
        <w:rPr>
          <w:rFonts w:ascii="BentonSans Book" w:hAnsi="BentonSans Book"/>
        </w:rPr>
        <w:t>% y-o-y, which</w:t>
      </w:r>
      <w:r w:rsidR="00D15ED7">
        <w:rPr>
          <w:rFonts w:ascii="BentonSans Book" w:hAnsi="BentonSans Book"/>
        </w:rPr>
        <w:t xml:space="preserve"> is higher than an increase of 8.3</w:t>
      </w:r>
      <w:r w:rsidRPr="00D054A8">
        <w:rPr>
          <w:rFonts w:ascii="BentonSans Book" w:hAnsi="BentonSans Book"/>
        </w:rPr>
        <w:t xml:space="preserve">% y-o-y of </w:t>
      </w:r>
      <w:r w:rsidR="00D15ED7">
        <w:rPr>
          <w:rFonts w:ascii="BentonSans Book" w:hAnsi="BentonSans Book"/>
        </w:rPr>
        <w:t>March</w:t>
      </w:r>
      <w:r w:rsidRPr="00D054A8">
        <w:rPr>
          <w:rFonts w:ascii="BentonSans Book" w:hAnsi="BentonSans Book"/>
        </w:rPr>
        <w:t xml:space="preserve"> 2024.</w:t>
      </w:r>
      <w:bookmarkStart w:id="0" w:name="_GoBack"/>
      <w:bookmarkEnd w:id="0"/>
    </w:p>
    <w:p w:rsidR="00D054A8" w:rsidRPr="00D054A8" w:rsidRDefault="00D054A8" w:rsidP="00D054A8">
      <w:pPr>
        <w:spacing w:line="276" w:lineRule="auto"/>
        <w:jc w:val="both"/>
        <w:rPr>
          <w:rFonts w:ascii="BentonSans Book" w:hAnsi="BentonSans Book"/>
        </w:rPr>
      </w:pPr>
      <w:r w:rsidRPr="00D054A8">
        <w:rPr>
          <w:rFonts w:ascii="BentonSans Book" w:hAnsi="BentonSans Book"/>
        </w:rPr>
        <w:t>On a monthly b</w:t>
      </w:r>
      <w:r w:rsidR="00D15ED7">
        <w:rPr>
          <w:rFonts w:ascii="BentonSans Book" w:hAnsi="BentonSans Book"/>
        </w:rPr>
        <w:t>asis, inflation increased by 1.4</w:t>
      </w:r>
      <w:r w:rsidRPr="00D054A8">
        <w:rPr>
          <w:rFonts w:ascii="BentonSans Book" w:hAnsi="BentonSans Book"/>
        </w:rPr>
        <w:t xml:space="preserve">% in </w:t>
      </w:r>
      <w:r w:rsidR="00D15ED7">
        <w:rPr>
          <w:rFonts w:ascii="BentonSans Book" w:hAnsi="BentonSans Book"/>
        </w:rPr>
        <w:t>April</w:t>
      </w:r>
      <w:r w:rsidRPr="00D054A8">
        <w:rPr>
          <w:rFonts w:ascii="BentonSans Book" w:hAnsi="BentonSans Book"/>
        </w:rPr>
        <w:t xml:space="preserve"> 2</w:t>
      </w:r>
      <w:r w:rsidR="00D15ED7">
        <w:rPr>
          <w:rFonts w:ascii="BentonSans Book" w:hAnsi="BentonSans Book"/>
        </w:rPr>
        <w:t>024, compared to an increase of 1</w:t>
      </w:r>
      <w:r w:rsidRPr="00D054A8">
        <w:rPr>
          <w:rFonts w:ascii="BentonSans Book" w:hAnsi="BentonSans Book"/>
        </w:rPr>
        <w:t>.1% of the previous month. This was due to inflation pressures of ‘Food and non-alcoholi</w:t>
      </w:r>
      <w:r w:rsidR="00524AAA">
        <w:rPr>
          <w:rFonts w:ascii="BentonSans Book" w:hAnsi="BentonSans Book"/>
        </w:rPr>
        <w:t>c beverages which increased by 1.3</w:t>
      </w:r>
      <w:r w:rsidRPr="00D054A8">
        <w:rPr>
          <w:rFonts w:ascii="BentonSans Book" w:hAnsi="BentonSans Book"/>
        </w:rPr>
        <w:t xml:space="preserve">% month on month in </w:t>
      </w:r>
      <w:r w:rsidR="00524AAA">
        <w:rPr>
          <w:rFonts w:ascii="BentonSans Book" w:hAnsi="BentonSans Book"/>
        </w:rPr>
        <w:t>April</w:t>
      </w:r>
      <w:r w:rsidRPr="00D054A8">
        <w:rPr>
          <w:rFonts w:ascii="BentonSans Book" w:hAnsi="BentonSans Book"/>
        </w:rPr>
        <w:t xml:space="preserve"> 20</w:t>
      </w:r>
      <w:r w:rsidR="00D35BD8">
        <w:rPr>
          <w:rFonts w:ascii="BentonSans Book" w:hAnsi="BentonSans Book"/>
        </w:rPr>
        <w:t>24 compared to an in</w:t>
      </w:r>
      <w:r w:rsidR="00524AAA">
        <w:rPr>
          <w:rFonts w:ascii="BentonSans Book" w:hAnsi="BentonSans Book"/>
        </w:rPr>
        <w:t>crease of 0.6</w:t>
      </w:r>
      <w:r w:rsidRPr="00D054A8">
        <w:rPr>
          <w:rFonts w:ascii="BentonSans Book" w:hAnsi="BentonSans Book"/>
        </w:rPr>
        <w:t xml:space="preserve">% in </w:t>
      </w:r>
      <w:r w:rsidR="00524AAA">
        <w:rPr>
          <w:rFonts w:ascii="BentonSans Book" w:hAnsi="BentonSans Book"/>
        </w:rPr>
        <w:t>March</w:t>
      </w:r>
      <w:r w:rsidRPr="00D054A8">
        <w:rPr>
          <w:rFonts w:ascii="BentonSans Book" w:hAnsi="BentonSans Book"/>
        </w:rPr>
        <w:t xml:space="preserve"> 2024</w:t>
      </w:r>
      <w:r w:rsidR="00524AAA">
        <w:rPr>
          <w:rFonts w:ascii="BentonSans Book" w:hAnsi="BentonSans Book"/>
        </w:rPr>
        <w:t xml:space="preserve"> and Transport increased by 8.2% compared to an increase of 6.2% of previous month</w:t>
      </w:r>
      <w:r w:rsidRPr="00D054A8">
        <w:rPr>
          <w:rFonts w:ascii="BentonSans Book" w:hAnsi="BentonSans Book"/>
        </w:rPr>
        <w:t>.</w:t>
      </w:r>
    </w:p>
    <w:p w:rsidR="00D054A8" w:rsidRPr="00D054A8" w:rsidRDefault="00D054A8" w:rsidP="00D054A8">
      <w:pPr>
        <w:spacing w:line="276" w:lineRule="auto"/>
        <w:jc w:val="both"/>
        <w:rPr>
          <w:rFonts w:ascii="BentonSans Book" w:hAnsi="BentonSans Book"/>
        </w:rPr>
      </w:pPr>
      <w:r w:rsidRPr="00D054A8">
        <w:rPr>
          <w:rFonts w:ascii="BentonSans Book" w:hAnsi="BentonSans Book"/>
        </w:rPr>
        <w:t>Year-on-year, Consu</w:t>
      </w:r>
      <w:r w:rsidR="00524AAA">
        <w:rPr>
          <w:rFonts w:ascii="BentonSans Book" w:hAnsi="BentonSans Book"/>
        </w:rPr>
        <w:t>mer Price Index increased by 4.5</w:t>
      </w:r>
      <w:r w:rsidRPr="00D054A8">
        <w:rPr>
          <w:rFonts w:ascii="BentonSans Book" w:hAnsi="BentonSans Book"/>
        </w:rPr>
        <w:t xml:space="preserve">% in </w:t>
      </w:r>
      <w:r w:rsidR="00524AAA">
        <w:rPr>
          <w:rFonts w:ascii="BentonSans Book" w:hAnsi="BentonSans Book"/>
        </w:rPr>
        <w:t>April</w:t>
      </w:r>
      <w:r w:rsidRPr="00D054A8">
        <w:rPr>
          <w:rFonts w:ascii="BentonSans Book" w:hAnsi="BentonSans Book"/>
        </w:rPr>
        <w:t xml:space="preserve"> 2024 compare</w:t>
      </w:r>
      <w:r w:rsidR="00524AAA">
        <w:rPr>
          <w:rFonts w:ascii="BentonSans Book" w:hAnsi="BentonSans Book"/>
        </w:rPr>
        <w:t>d to 4.2</w:t>
      </w:r>
      <w:r w:rsidRPr="00D054A8">
        <w:rPr>
          <w:rFonts w:ascii="BentonSans Book" w:hAnsi="BentonSans Book"/>
        </w:rPr>
        <w:t xml:space="preserve">% increase in </w:t>
      </w:r>
      <w:r w:rsidR="009C78E3">
        <w:rPr>
          <w:rFonts w:ascii="BentonSans Book" w:hAnsi="BentonSans Book"/>
        </w:rPr>
        <w:t>March 2024 due to inflation</w:t>
      </w:r>
      <w:r w:rsidRPr="00D054A8">
        <w:rPr>
          <w:rFonts w:ascii="BentonSans Book" w:hAnsi="BentonSans Book"/>
        </w:rPr>
        <w:t xml:space="preserve"> pressures from </w:t>
      </w:r>
      <w:r w:rsidR="009C78E3">
        <w:rPr>
          <w:rFonts w:ascii="BentonSans Book" w:hAnsi="BentonSans Book"/>
        </w:rPr>
        <w:t>Transpor</w:t>
      </w:r>
      <w:r w:rsidR="004E3B31">
        <w:rPr>
          <w:rFonts w:ascii="BentonSans Book" w:hAnsi="BentonSans Book"/>
        </w:rPr>
        <w:t xml:space="preserve">t services which </w:t>
      </w:r>
      <w:r w:rsidR="009C78E3">
        <w:rPr>
          <w:rFonts w:ascii="BentonSans Book" w:hAnsi="BentonSans Book"/>
        </w:rPr>
        <w:t>increased by 24</w:t>
      </w:r>
      <w:r w:rsidR="009C78E3" w:rsidRPr="009C78E3">
        <w:rPr>
          <w:rFonts w:ascii="BentonSans Book" w:hAnsi="BentonSans Book"/>
        </w:rPr>
        <w:t>.2% compared to an inc</w:t>
      </w:r>
      <w:r w:rsidR="009C78E3">
        <w:rPr>
          <w:rFonts w:ascii="BentonSans Book" w:hAnsi="BentonSans Book"/>
        </w:rPr>
        <w:t>rease of 14.8% of previous month</w:t>
      </w:r>
      <w:r w:rsidRPr="00D054A8">
        <w:rPr>
          <w:rFonts w:ascii="BentonSans Book" w:hAnsi="BentonSans Book"/>
        </w:rPr>
        <w:t>.</w:t>
      </w:r>
    </w:p>
    <w:p w:rsidR="00D054A8" w:rsidRPr="00D054A8" w:rsidRDefault="00D054A8" w:rsidP="00D054A8">
      <w:pPr>
        <w:spacing w:line="276" w:lineRule="auto"/>
        <w:jc w:val="both"/>
        <w:rPr>
          <w:rFonts w:ascii="BentonSans Book" w:hAnsi="BentonSans Book"/>
        </w:rPr>
      </w:pPr>
      <w:r w:rsidRPr="00D054A8">
        <w:rPr>
          <w:rFonts w:ascii="BentonSans Book" w:hAnsi="BentonSans Book"/>
        </w:rPr>
        <w:t>Excluding fresh food products and energy, the consumer pr</w:t>
      </w:r>
      <w:r w:rsidR="009C78E3">
        <w:rPr>
          <w:rFonts w:ascii="BentonSans Book" w:hAnsi="BentonSans Book"/>
        </w:rPr>
        <w:t>ice index increased by 6.6</w:t>
      </w:r>
      <w:r w:rsidRPr="00D054A8">
        <w:rPr>
          <w:rFonts w:ascii="BentonSans Book" w:hAnsi="BentonSans Book"/>
        </w:rPr>
        <w:t xml:space="preserve">% y-o-y in </w:t>
      </w:r>
      <w:r w:rsidR="009C78E3">
        <w:rPr>
          <w:rFonts w:ascii="BentonSans Book" w:hAnsi="BentonSans Book"/>
        </w:rPr>
        <w:t>April 2024, which is higher than 5.8</w:t>
      </w:r>
      <w:r w:rsidRPr="00D054A8">
        <w:rPr>
          <w:rFonts w:ascii="BentonSans Book" w:hAnsi="BentonSans Book"/>
        </w:rPr>
        <w:t xml:space="preserve">% y-o-y of </w:t>
      </w:r>
      <w:r w:rsidR="009C78E3">
        <w:rPr>
          <w:rFonts w:ascii="BentonSans Book" w:hAnsi="BentonSans Book"/>
        </w:rPr>
        <w:t>March</w:t>
      </w:r>
      <w:r w:rsidRPr="00D054A8">
        <w:rPr>
          <w:rFonts w:ascii="BentonSans Book" w:hAnsi="BentonSans Book"/>
        </w:rPr>
        <w:t xml:space="preserve"> 2024.</w:t>
      </w:r>
      <w:r w:rsidR="00402BAE">
        <w:rPr>
          <w:rFonts w:ascii="BentonSans Book" w:hAnsi="BentonSans Book"/>
        </w:rPr>
        <w:t xml:space="preserve"> Fresh products </w:t>
      </w:r>
      <w:r w:rsidR="004E3B31">
        <w:rPr>
          <w:rFonts w:ascii="BentonSans Book" w:hAnsi="BentonSans Book"/>
        </w:rPr>
        <w:t xml:space="preserve">further decreased </w:t>
      </w:r>
      <w:r w:rsidR="00402BAE">
        <w:rPr>
          <w:rFonts w:ascii="BentonSans Book" w:hAnsi="BentonSans Book"/>
        </w:rPr>
        <w:t>by 1.6</w:t>
      </w:r>
      <w:r w:rsidRPr="00D054A8">
        <w:rPr>
          <w:rFonts w:ascii="BentonSans Book" w:hAnsi="BentonSans Book"/>
        </w:rPr>
        <w:t xml:space="preserve">% y-o-y in </w:t>
      </w:r>
      <w:r w:rsidR="00402BAE">
        <w:rPr>
          <w:rFonts w:ascii="BentonSans Book" w:hAnsi="BentonSans Book"/>
        </w:rPr>
        <w:t xml:space="preserve">April 2024, compared to a decrease of 0.5% y-o-y </w:t>
      </w:r>
      <w:r w:rsidR="00565B49">
        <w:rPr>
          <w:rFonts w:ascii="BentonSans Book" w:hAnsi="BentonSans Book"/>
        </w:rPr>
        <w:t>of</w:t>
      </w:r>
      <w:r w:rsidRPr="00D054A8">
        <w:rPr>
          <w:rFonts w:ascii="BentonSans Book" w:hAnsi="BentonSans Book"/>
        </w:rPr>
        <w:t xml:space="preserve"> </w:t>
      </w:r>
      <w:r w:rsidR="00402BAE">
        <w:rPr>
          <w:rFonts w:ascii="BentonSans Book" w:hAnsi="BentonSans Book"/>
        </w:rPr>
        <w:t>March</w:t>
      </w:r>
      <w:r w:rsidRPr="00D054A8">
        <w:rPr>
          <w:rFonts w:ascii="BentonSans Book" w:hAnsi="BentonSans Book"/>
        </w:rPr>
        <w:t xml:space="preserve"> 20</w:t>
      </w:r>
      <w:r w:rsidR="00402BAE">
        <w:rPr>
          <w:rFonts w:ascii="BentonSans Book" w:hAnsi="BentonSans Book"/>
        </w:rPr>
        <w:t>24. Energy prices increased by 4</w:t>
      </w:r>
      <w:r w:rsidR="004E3B31">
        <w:rPr>
          <w:rFonts w:ascii="BentonSans Book" w:hAnsi="BentonSans Book"/>
        </w:rPr>
        <w:t>.0</w:t>
      </w:r>
      <w:r w:rsidRPr="00D054A8">
        <w:rPr>
          <w:rFonts w:ascii="BentonSans Book" w:hAnsi="BentonSans Book"/>
        </w:rPr>
        <w:t xml:space="preserve">% y-o-y in </w:t>
      </w:r>
      <w:r w:rsidR="00402BAE">
        <w:rPr>
          <w:rFonts w:ascii="BentonSans Book" w:hAnsi="BentonSans Book"/>
        </w:rPr>
        <w:t>April</w:t>
      </w:r>
      <w:r w:rsidRPr="00D054A8">
        <w:rPr>
          <w:rFonts w:ascii="BentonSans Book" w:hAnsi="BentonSans Book"/>
        </w:rPr>
        <w:t xml:space="preserve"> 2024, which</w:t>
      </w:r>
      <w:r w:rsidR="00402BAE">
        <w:rPr>
          <w:rFonts w:ascii="BentonSans Book" w:hAnsi="BentonSans Book"/>
        </w:rPr>
        <w:t xml:space="preserve"> is higher than an increase of 3.3</w:t>
      </w:r>
      <w:r w:rsidRPr="00D054A8">
        <w:rPr>
          <w:rFonts w:ascii="BentonSans Book" w:hAnsi="BentonSans Book"/>
        </w:rPr>
        <w:t xml:space="preserve">% y-o-y of </w:t>
      </w:r>
      <w:r w:rsidR="00402BAE">
        <w:rPr>
          <w:rFonts w:ascii="BentonSans Book" w:hAnsi="BentonSans Book"/>
        </w:rPr>
        <w:t>March</w:t>
      </w:r>
      <w:r w:rsidRPr="00D054A8">
        <w:rPr>
          <w:rFonts w:ascii="BentonSans Book" w:hAnsi="BentonSans Book"/>
        </w:rPr>
        <w:t xml:space="preserve"> 2024.</w:t>
      </w:r>
    </w:p>
    <w:p w:rsidR="00133695" w:rsidRPr="00062B07" w:rsidRDefault="004E3B31" w:rsidP="0078355D">
      <w:pPr>
        <w:spacing w:line="276" w:lineRule="auto"/>
        <w:jc w:val="both"/>
        <w:rPr>
          <w:rFonts w:ascii="BentonSans Book" w:hAnsi="BentonSans Book"/>
        </w:rPr>
      </w:pPr>
      <w:r>
        <w:rPr>
          <w:noProof/>
        </w:rPr>
        <w:drawing>
          <wp:inline distT="0" distB="0" distL="0" distR="0" wp14:anchorId="7317C669" wp14:editId="5979D8EA">
            <wp:extent cx="6076950" cy="2965450"/>
            <wp:effectExtent l="0" t="0" r="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133695" w:rsidRPr="00062B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8B3" w:rsidRDefault="006958B3" w:rsidP="00607D4A">
      <w:pPr>
        <w:spacing w:after="0" w:line="240" w:lineRule="auto"/>
      </w:pPr>
      <w:r>
        <w:separator/>
      </w:r>
    </w:p>
  </w:endnote>
  <w:endnote w:type="continuationSeparator" w:id="0">
    <w:p w:rsidR="006958B3" w:rsidRDefault="006958B3" w:rsidP="0060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Book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06" w:rsidRDefault="002F3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06" w:rsidRDefault="002F3A06" w:rsidP="002F3A06">
    <w:pPr>
      <w:pStyle w:val="Footer"/>
      <w:jc w:val="center"/>
    </w:pPr>
    <w:bookmarkStart w:id="2" w:name="TITUS1FooterPrimary"/>
    <w:r w:rsidRPr="002F3A06">
      <w:rPr>
        <w:color w:val="000000"/>
        <w:sz w:val="17"/>
      </w:rPr>
      <w:t> 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06" w:rsidRDefault="002F3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8B3" w:rsidRDefault="006958B3" w:rsidP="00607D4A">
      <w:pPr>
        <w:spacing w:after="0" w:line="240" w:lineRule="auto"/>
      </w:pPr>
      <w:r>
        <w:separator/>
      </w:r>
    </w:p>
  </w:footnote>
  <w:footnote w:type="continuationSeparator" w:id="0">
    <w:p w:rsidR="006958B3" w:rsidRDefault="006958B3" w:rsidP="0060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06" w:rsidRDefault="002F3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18" w:rsidRDefault="002F3A06" w:rsidP="002F3A06">
    <w:pPr>
      <w:pStyle w:val="Header"/>
      <w:jc w:val="center"/>
    </w:pPr>
    <w:bookmarkStart w:id="1" w:name="TITUS1HeaderPrimary"/>
    <w:r w:rsidRPr="002F3A06">
      <w:rPr>
        <w:color w:val="000000"/>
        <w:sz w:val="17"/>
      </w:rPr>
      <w:t> </w:t>
    </w:r>
    <w:bookmarkEnd w:id="1"/>
    <w:r w:rsidR="006958B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FooterRightsWATCHMark0" o:spid="_x0000_s2060" type="#_x0000_t136" alt="RightsWATCHMark-85db3b11-9c99-43b1-a3f2-f1864d17d80f" style="position:absolute;left:0;text-align:left;margin-left:231.75pt;margin-top:756.95pt;width:148.5pt;height:11.25pt;z-index:251658240;mso-position-horizontal:absolute;mso-position-horizontal-relative:page;mso-position-vertical:absolute;mso-position-vertical-relative:page" o:allowincell="f" fillcolor="#40a6fa" stroked="f">
          <v:stroke r:id="rId1" o:title=""/>
          <v:shadow color="#868686"/>
          <v:textpath style="font-family:&quot;Times New Roman&quot;;font-size:10pt;font-weight:bold;v-text-kern:t" trim="t" fitpath="t" string="National Bank of Rwanda-Restricted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06" w:rsidRDefault="002F3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699"/>
    <w:multiLevelType w:val="multilevel"/>
    <w:tmpl w:val="B12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84"/>
    <w:rsid w:val="00000275"/>
    <w:rsid w:val="00000FE8"/>
    <w:rsid w:val="000060D8"/>
    <w:rsid w:val="00007AFC"/>
    <w:rsid w:val="000105FD"/>
    <w:rsid w:val="00010881"/>
    <w:rsid w:val="00012FC2"/>
    <w:rsid w:val="000136CF"/>
    <w:rsid w:val="0001585C"/>
    <w:rsid w:val="00017197"/>
    <w:rsid w:val="00023E9A"/>
    <w:rsid w:val="00024000"/>
    <w:rsid w:val="0002546F"/>
    <w:rsid w:val="0004031C"/>
    <w:rsid w:val="00040432"/>
    <w:rsid w:val="000460D8"/>
    <w:rsid w:val="00050ADF"/>
    <w:rsid w:val="00051A03"/>
    <w:rsid w:val="00055643"/>
    <w:rsid w:val="00060D0C"/>
    <w:rsid w:val="00061D2D"/>
    <w:rsid w:val="00062B07"/>
    <w:rsid w:val="000647EF"/>
    <w:rsid w:val="00064C84"/>
    <w:rsid w:val="000717D9"/>
    <w:rsid w:val="000826E4"/>
    <w:rsid w:val="000A68E7"/>
    <w:rsid w:val="000B3BE0"/>
    <w:rsid w:val="000B5692"/>
    <w:rsid w:val="000B661A"/>
    <w:rsid w:val="000B711F"/>
    <w:rsid w:val="000C55BC"/>
    <w:rsid w:val="000D028B"/>
    <w:rsid w:val="000D3989"/>
    <w:rsid w:val="000E08AF"/>
    <w:rsid w:val="000F094D"/>
    <w:rsid w:val="000F61BE"/>
    <w:rsid w:val="00101ADF"/>
    <w:rsid w:val="001100BE"/>
    <w:rsid w:val="00111AA9"/>
    <w:rsid w:val="00115A45"/>
    <w:rsid w:val="00126D35"/>
    <w:rsid w:val="0012794E"/>
    <w:rsid w:val="0013135E"/>
    <w:rsid w:val="00131A15"/>
    <w:rsid w:val="0013241C"/>
    <w:rsid w:val="00133695"/>
    <w:rsid w:val="001407F4"/>
    <w:rsid w:val="00141035"/>
    <w:rsid w:val="00142D38"/>
    <w:rsid w:val="00147607"/>
    <w:rsid w:val="00156165"/>
    <w:rsid w:val="00162626"/>
    <w:rsid w:val="00167EE6"/>
    <w:rsid w:val="00172B3F"/>
    <w:rsid w:val="001755A1"/>
    <w:rsid w:val="0017701A"/>
    <w:rsid w:val="00177B1E"/>
    <w:rsid w:val="00182609"/>
    <w:rsid w:val="00184DA8"/>
    <w:rsid w:val="0019178F"/>
    <w:rsid w:val="00192EA1"/>
    <w:rsid w:val="001937CA"/>
    <w:rsid w:val="00197AB6"/>
    <w:rsid w:val="001A7059"/>
    <w:rsid w:val="001B7419"/>
    <w:rsid w:val="001C02C0"/>
    <w:rsid w:val="001C5086"/>
    <w:rsid w:val="001C6189"/>
    <w:rsid w:val="001C7923"/>
    <w:rsid w:val="001D5145"/>
    <w:rsid w:val="001D7D79"/>
    <w:rsid w:val="001E75D0"/>
    <w:rsid w:val="001F39A3"/>
    <w:rsid w:val="002009A5"/>
    <w:rsid w:val="00200CC1"/>
    <w:rsid w:val="00201D0F"/>
    <w:rsid w:val="00213227"/>
    <w:rsid w:val="00230C38"/>
    <w:rsid w:val="00245577"/>
    <w:rsid w:val="002465EC"/>
    <w:rsid w:val="00262221"/>
    <w:rsid w:val="00262ADC"/>
    <w:rsid w:val="002A0730"/>
    <w:rsid w:val="002A2FFF"/>
    <w:rsid w:val="002A3E75"/>
    <w:rsid w:val="002A5703"/>
    <w:rsid w:val="002A7D84"/>
    <w:rsid w:val="002C14B9"/>
    <w:rsid w:val="002C49A8"/>
    <w:rsid w:val="002D1577"/>
    <w:rsid w:val="002D74E2"/>
    <w:rsid w:val="002E0586"/>
    <w:rsid w:val="002E15AF"/>
    <w:rsid w:val="002E52F4"/>
    <w:rsid w:val="002F158C"/>
    <w:rsid w:val="002F3A06"/>
    <w:rsid w:val="002F3A83"/>
    <w:rsid w:val="002F653C"/>
    <w:rsid w:val="002F7CB9"/>
    <w:rsid w:val="002F7FA7"/>
    <w:rsid w:val="0030055E"/>
    <w:rsid w:val="003020E6"/>
    <w:rsid w:val="0030363F"/>
    <w:rsid w:val="00303BA8"/>
    <w:rsid w:val="00316CF3"/>
    <w:rsid w:val="00324643"/>
    <w:rsid w:val="003303DB"/>
    <w:rsid w:val="0033575C"/>
    <w:rsid w:val="00335C03"/>
    <w:rsid w:val="0034120E"/>
    <w:rsid w:val="00350FFE"/>
    <w:rsid w:val="00352BBD"/>
    <w:rsid w:val="00353655"/>
    <w:rsid w:val="003541CB"/>
    <w:rsid w:val="00355D1C"/>
    <w:rsid w:val="00361D9D"/>
    <w:rsid w:val="0037062D"/>
    <w:rsid w:val="00370A72"/>
    <w:rsid w:val="00376FAF"/>
    <w:rsid w:val="00380625"/>
    <w:rsid w:val="00384DBD"/>
    <w:rsid w:val="00385A33"/>
    <w:rsid w:val="00385CC6"/>
    <w:rsid w:val="00392C82"/>
    <w:rsid w:val="003A3700"/>
    <w:rsid w:val="003B0331"/>
    <w:rsid w:val="003B0401"/>
    <w:rsid w:val="003B2B72"/>
    <w:rsid w:val="003B33E0"/>
    <w:rsid w:val="003C04D6"/>
    <w:rsid w:val="003C4469"/>
    <w:rsid w:val="003C4AB8"/>
    <w:rsid w:val="003C60A5"/>
    <w:rsid w:val="003D2859"/>
    <w:rsid w:val="003E07DD"/>
    <w:rsid w:val="003E27E0"/>
    <w:rsid w:val="0040198A"/>
    <w:rsid w:val="00402BAE"/>
    <w:rsid w:val="0040556B"/>
    <w:rsid w:val="0041314C"/>
    <w:rsid w:val="00436311"/>
    <w:rsid w:val="00443815"/>
    <w:rsid w:val="00446BDE"/>
    <w:rsid w:val="00446ECA"/>
    <w:rsid w:val="00455621"/>
    <w:rsid w:val="004638A3"/>
    <w:rsid w:val="00470083"/>
    <w:rsid w:val="00472FFD"/>
    <w:rsid w:val="00493053"/>
    <w:rsid w:val="004950E2"/>
    <w:rsid w:val="00495644"/>
    <w:rsid w:val="004A1422"/>
    <w:rsid w:val="004C20D1"/>
    <w:rsid w:val="004C7B56"/>
    <w:rsid w:val="004D5469"/>
    <w:rsid w:val="004E3B31"/>
    <w:rsid w:val="004E6ADE"/>
    <w:rsid w:val="004F64CD"/>
    <w:rsid w:val="0050165A"/>
    <w:rsid w:val="0050272B"/>
    <w:rsid w:val="00511375"/>
    <w:rsid w:val="00520835"/>
    <w:rsid w:val="0052448D"/>
    <w:rsid w:val="00524AAA"/>
    <w:rsid w:val="00534DBE"/>
    <w:rsid w:val="00537A3B"/>
    <w:rsid w:val="00565B49"/>
    <w:rsid w:val="005668BD"/>
    <w:rsid w:val="0057186C"/>
    <w:rsid w:val="00572D3F"/>
    <w:rsid w:val="00595632"/>
    <w:rsid w:val="00596BCF"/>
    <w:rsid w:val="005A0060"/>
    <w:rsid w:val="005A33EC"/>
    <w:rsid w:val="005B2BEE"/>
    <w:rsid w:val="005B40BE"/>
    <w:rsid w:val="005B68B4"/>
    <w:rsid w:val="005B6C3E"/>
    <w:rsid w:val="005C5445"/>
    <w:rsid w:val="005C73A0"/>
    <w:rsid w:val="005D6381"/>
    <w:rsid w:val="005E0A54"/>
    <w:rsid w:val="005E3751"/>
    <w:rsid w:val="005E4E4D"/>
    <w:rsid w:val="005E6FB9"/>
    <w:rsid w:val="005F2911"/>
    <w:rsid w:val="005F5CAD"/>
    <w:rsid w:val="0060528B"/>
    <w:rsid w:val="00605B95"/>
    <w:rsid w:val="00607D4A"/>
    <w:rsid w:val="00610731"/>
    <w:rsid w:val="00615D65"/>
    <w:rsid w:val="00617A47"/>
    <w:rsid w:val="00617D72"/>
    <w:rsid w:val="006248DD"/>
    <w:rsid w:val="00646A78"/>
    <w:rsid w:val="006504B8"/>
    <w:rsid w:val="00655D16"/>
    <w:rsid w:val="0065657C"/>
    <w:rsid w:val="00656691"/>
    <w:rsid w:val="0066106C"/>
    <w:rsid w:val="0068184D"/>
    <w:rsid w:val="006833AB"/>
    <w:rsid w:val="00691E3E"/>
    <w:rsid w:val="006958B3"/>
    <w:rsid w:val="006A57AF"/>
    <w:rsid w:val="006B24C7"/>
    <w:rsid w:val="006C274A"/>
    <w:rsid w:val="006C7643"/>
    <w:rsid w:val="006E198A"/>
    <w:rsid w:val="006E68A1"/>
    <w:rsid w:val="006F21E4"/>
    <w:rsid w:val="006F5EB1"/>
    <w:rsid w:val="006F66EF"/>
    <w:rsid w:val="006F6C29"/>
    <w:rsid w:val="0070091F"/>
    <w:rsid w:val="00700AB4"/>
    <w:rsid w:val="00703A4A"/>
    <w:rsid w:val="00713731"/>
    <w:rsid w:val="007143F4"/>
    <w:rsid w:val="00714AA6"/>
    <w:rsid w:val="0073103D"/>
    <w:rsid w:val="00732C18"/>
    <w:rsid w:val="007341FA"/>
    <w:rsid w:val="007407FD"/>
    <w:rsid w:val="00751CEA"/>
    <w:rsid w:val="00764BB3"/>
    <w:rsid w:val="007669A6"/>
    <w:rsid w:val="00770501"/>
    <w:rsid w:val="0077213C"/>
    <w:rsid w:val="00772D26"/>
    <w:rsid w:val="00776BC9"/>
    <w:rsid w:val="00776FCE"/>
    <w:rsid w:val="0077719D"/>
    <w:rsid w:val="007823FA"/>
    <w:rsid w:val="0078355D"/>
    <w:rsid w:val="00783C72"/>
    <w:rsid w:val="00784C2A"/>
    <w:rsid w:val="00786E96"/>
    <w:rsid w:val="007A5455"/>
    <w:rsid w:val="007A7E1B"/>
    <w:rsid w:val="007B0806"/>
    <w:rsid w:val="007B5A09"/>
    <w:rsid w:val="007C06C4"/>
    <w:rsid w:val="007C2079"/>
    <w:rsid w:val="007C5639"/>
    <w:rsid w:val="007D4F1F"/>
    <w:rsid w:val="007E6004"/>
    <w:rsid w:val="007E7EF7"/>
    <w:rsid w:val="007F5823"/>
    <w:rsid w:val="00805CD0"/>
    <w:rsid w:val="008108A8"/>
    <w:rsid w:val="008118AB"/>
    <w:rsid w:val="00814718"/>
    <w:rsid w:val="00817988"/>
    <w:rsid w:val="008214AF"/>
    <w:rsid w:val="00831E86"/>
    <w:rsid w:val="00840149"/>
    <w:rsid w:val="00850F7B"/>
    <w:rsid w:val="00850FF2"/>
    <w:rsid w:val="00852B6F"/>
    <w:rsid w:val="00854DE8"/>
    <w:rsid w:val="00866885"/>
    <w:rsid w:val="00872894"/>
    <w:rsid w:val="00882325"/>
    <w:rsid w:val="008853CE"/>
    <w:rsid w:val="00886FFC"/>
    <w:rsid w:val="00887ADB"/>
    <w:rsid w:val="00887CC1"/>
    <w:rsid w:val="008A1FC0"/>
    <w:rsid w:val="008A25A7"/>
    <w:rsid w:val="008B614A"/>
    <w:rsid w:val="008C1947"/>
    <w:rsid w:val="008C4B9E"/>
    <w:rsid w:val="008D35B2"/>
    <w:rsid w:val="008D6356"/>
    <w:rsid w:val="008E109E"/>
    <w:rsid w:val="008F4C21"/>
    <w:rsid w:val="008F4D33"/>
    <w:rsid w:val="00903992"/>
    <w:rsid w:val="00903DF2"/>
    <w:rsid w:val="00907269"/>
    <w:rsid w:val="0091431A"/>
    <w:rsid w:val="00917C66"/>
    <w:rsid w:val="009234E3"/>
    <w:rsid w:val="009278E1"/>
    <w:rsid w:val="00931E81"/>
    <w:rsid w:val="009371F5"/>
    <w:rsid w:val="0093766D"/>
    <w:rsid w:val="009379A5"/>
    <w:rsid w:val="00943D6D"/>
    <w:rsid w:val="00950BBD"/>
    <w:rsid w:val="00956ACD"/>
    <w:rsid w:val="009624D1"/>
    <w:rsid w:val="00962B94"/>
    <w:rsid w:val="009771C3"/>
    <w:rsid w:val="00983F3F"/>
    <w:rsid w:val="0098572B"/>
    <w:rsid w:val="00990470"/>
    <w:rsid w:val="00997203"/>
    <w:rsid w:val="009A073C"/>
    <w:rsid w:val="009A2189"/>
    <w:rsid w:val="009A2546"/>
    <w:rsid w:val="009A3B5A"/>
    <w:rsid w:val="009A54F4"/>
    <w:rsid w:val="009B6697"/>
    <w:rsid w:val="009C55FC"/>
    <w:rsid w:val="009C78E3"/>
    <w:rsid w:val="009D1170"/>
    <w:rsid w:val="009D3199"/>
    <w:rsid w:val="009D43D2"/>
    <w:rsid w:val="009D69EE"/>
    <w:rsid w:val="009E34C1"/>
    <w:rsid w:val="009F14FC"/>
    <w:rsid w:val="009F685D"/>
    <w:rsid w:val="009F74F2"/>
    <w:rsid w:val="00A06630"/>
    <w:rsid w:val="00A07062"/>
    <w:rsid w:val="00A13AFB"/>
    <w:rsid w:val="00A14C18"/>
    <w:rsid w:val="00A2017B"/>
    <w:rsid w:val="00A21C50"/>
    <w:rsid w:val="00A33B58"/>
    <w:rsid w:val="00A36A16"/>
    <w:rsid w:val="00A4006E"/>
    <w:rsid w:val="00A56DC2"/>
    <w:rsid w:val="00A573B5"/>
    <w:rsid w:val="00A80C49"/>
    <w:rsid w:val="00A8193C"/>
    <w:rsid w:val="00AA25D1"/>
    <w:rsid w:val="00AA6308"/>
    <w:rsid w:val="00AB1564"/>
    <w:rsid w:val="00AB76A5"/>
    <w:rsid w:val="00AC0B3A"/>
    <w:rsid w:val="00AC0B94"/>
    <w:rsid w:val="00AC3E25"/>
    <w:rsid w:val="00AD3690"/>
    <w:rsid w:val="00AD668A"/>
    <w:rsid w:val="00AE0F30"/>
    <w:rsid w:val="00AE1854"/>
    <w:rsid w:val="00AE2E14"/>
    <w:rsid w:val="00B100FD"/>
    <w:rsid w:val="00B1626A"/>
    <w:rsid w:val="00B17F9C"/>
    <w:rsid w:val="00B41A15"/>
    <w:rsid w:val="00B4280E"/>
    <w:rsid w:val="00B45A97"/>
    <w:rsid w:val="00B5508A"/>
    <w:rsid w:val="00B56885"/>
    <w:rsid w:val="00B74463"/>
    <w:rsid w:val="00B806C2"/>
    <w:rsid w:val="00B92207"/>
    <w:rsid w:val="00B94333"/>
    <w:rsid w:val="00BA1878"/>
    <w:rsid w:val="00BA657C"/>
    <w:rsid w:val="00BA7BED"/>
    <w:rsid w:val="00BB63A8"/>
    <w:rsid w:val="00BC077C"/>
    <w:rsid w:val="00BC2EE7"/>
    <w:rsid w:val="00BD1159"/>
    <w:rsid w:val="00BD2AFE"/>
    <w:rsid w:val="00BE2539"/>
    <w:rsid w:val="00BE4682"/>
    <w:rsid w:val="00BF344B"/>
    <w:rsid w:val="00C01389"/>
    <w:rsid w:val="00C0150E"/>
    <w:rsid w:val="00C01D56"/>
    <w:rsid w:val="00C06536"/>
    <w:rsid w:val="00C11B6D"/>
    <w:rsid w:val="00C244EE"/>
    <w:rsid w:val="00C24D32"/>
    <w:rsid w:val="00C27D19"/>
    <w:rsid w:val="00C326FC"/>
    <w:rsid w:val="00C34746"/>
    <w:rsid w:val="00C376DA"/>
    <w:rsid w:val="00C410F5"/>
    <w:rsid w:val="00C424B9"/>
    <w:rsid w:val="00C43F2E"/>
    <w:rsid w:val="00C47EB2"/>
    <w:rsid w:val="00C574B0"/>
    <w:rsid w:val="00C57CBE"/>
    <w:rsid w:val="00C668C9"/>
    <w:rsid w:val="00C7691B"/>
    <w:rsid w:val="00C8089B"/>
    <w:rsid w:val="00C84D32"/>
    <w:rsid w:val="00C87D6C"/>
    <w:rsid w:val="00C93956"/>
    <w:rsid w:val="00C97B2C"/>
    <w:rsid w:val="00CA220F"/>
    <w:rsid w:val="00CA296E"/>
    <w:rsid w:val="00CB524B"/>
    <w:rsid w:val="00CD0AC2"/>
    <w:rsid w:val="00CD4183"/>
    <w:rsid w:val="00CE27D3"/>
    <w:rsid w:val="00CE30E5"/>
    <w:rsid w:val="00CE3AA4"/>
    <w:rsid w:val="00CE5EB9"/>
    <w:rsid w:val="00CF46E9"/>
    <w:rsid w:val="00CF66A7"/>
    <w:rsid w:val="00D02F76"/>
    <w:rsid w:val="00D054A8"/>
    <w:rsid w:val="00D0558A"/>
    <w:rsid w:val="00D06ECC"/>
    <w:rsid w:val="00D15ED7"/>
    <w:rsid w:val="00D2272F"/>
    <w:rsid w:val="00D302C5"/>
    <w:rsid w:val="00D35BD8"/>
    <w:rsid w:val="00D633E2"/>
    <w:rsid w:val="00D645B4"/>
    <w:rsid w:val="00D73A0F"/>
    <w:rsid w:val="00D74DFE"/>
    <w:rsid w:val="00D75562"/>
    <w:rsid w:val="00D760D0"/>
    <w:rsid w:val="00D77D4A"/>
    <w:rsid w:val="00D80516"/>
    <w:rsid w:val="00D9061E"/>
    <w:rsid w:val="00D92C30"/>
    <w:rsid w:val="00D9352D"/>
    <w:rsid w:val="00D93CB2"/>
    <w:rsid w:val="00D97241"/>
    <w:rsid w:val="00DA0DC3"/>
    <w:rsid w:val="00DA1F32"/>
    <w:rsid w:val="00DA2A4D"/>
    <w:rsid w:val="00DA4849"/>
    <w:rsid w:val="00DA74C9"/>
    <w:rsid w:val="00DB3506"/>
    <w:rsid w:val="00DB42B5"/>
    <w:rsid w:val="00DB4CB1"/>
    <w:rsid w:val="00DC23E4"/>
    <w:rsid w:val="00DD52E9"/>
    <w:rsid w:val="00DD559C"/>
    <w:rsid w:val="00DD5AFB"/>
    <w:rsid w:val="00DD641C"/>
    <w:rsid w:val="00DD6D85"/>
    <w:rsid w:val="00DE1D9F"/>
    <w:rsid w:val="00DE7A78"/>
    <w:rsid w:val="00DF5D10"/>
    <w:rsid w:val="00DF74B8"/>
    <w:rsid w:val="00E06A26"/>
    <w:rsid w:val="00E15E36"/>
    <w:rsid w:val="00E1653D"/>
    <w:rsid w:val="00E174DB"/>
    <w:rsid w:val="00E2063E"/>
    <w:rsid w:val="00E31F78"/>
    <w:rsid w:val="00E3260B"/>
    <w:rsid w:val="00E45CBF"/>
    <w:rsid w:val="00E51859"/>
    <w:rsid w:val="00E579F7"/>
    <w:rsid w:val="00E65A7B"/>
    <w:rsid w:val="00E66BB7"/>
    <w:rsid w:val="00E77C41"/>
    <w:rsid w:val="00E832C8"/>
    <w:rsid w:val="00E858A9"/>
    <w:rsid w:val="00E85B10"/>
    <w:rsid w:val="00E95BC0"/>
    <w:rsid w:val="00E96EA6"/>
    <w:rsid w:val="00EA0A74"/>
    <w:rsid w:val="00EA1FC9"/>
    <w:rsid w:val="00EA5534"/>
    <w:rsid w:val="00EA6999"/>
    <w:rsid w:val="00EB5785"/>
    <w:rsid w:val="00EC1CAA"/>
    <w:rsid w:val="00EC29F3"/>
    <w:rsid w:val="00EC48FA"/>
    <w:rsid w:val="00EC5C19"/>
    <w:rsid w:val="00EF160C"/>
    <w:rsid w:val="00EF21E2"/>
    <w:rsid w:val="00F017EA"/>
    <w:rsid w:val="00F109EA"/>
    <w:rsid w:val="00F125BD"/>
    <w:rsid w:val="00F16BCD"/>
    <w:rsid w:val="00F25E6F"/>
    <w:rsid w:val="00F31F36"/>
    <w:rsid w:val="00F32219"/>
    <w:rsid w:val="00F325CA"/>
    <w:rsid w:val="00F3340F"/>
    <w:rsid w:val="00F47626"/>
    <w:rsid w:val="00F67E81"/>
    <w:rsid w:val="00F75937"/>
    <w:rsid w:val="00F8760D"/>
    <w:rsid w:val="00F91C64"/>
    <w:rsid w:val="00F95CB4"/>
    <w:rsid w:val="00FA20B4"/>
    <w:rsid w:val="00FA3020"/>
    <w:rsid w:val="00FA46E0"/>
    <w:rsid w:val="00FB5A60"/>
    <w:rsid w:val="00FC6C5F"/>
    <w:rsid w:val="00FC6F51"/>
    <w:rsid w:val="00FD2162"/>
    <w:rsid w:val="00FD27C9"/>
    <w:rsid w:val="00FD4D74"/>
    <w:rsid w:val="00FD71F1"/>
    <w:rsid w:val="00FE1570"/>
    <w:rsid w:val="00FF3010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024C2C9F"/>
  <w15:chartTrackingRefBased/>
  <w15:docId w15:val="{37B856D6-62A0-4993-B642-BAFD5AFD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4A"/>
  </w:style>
  <w:style w:type="paragraph" w:styleId="Footer">
    <w:name w:val="footer"/>
    <w:basedOn w:val="Normal"/>
    <w:link w:val="FooterChar"/>
    <w:uiPriority w:val="99"/>
    <w:unhideWhenUsed/>
    <w:rsid w:val="0060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4A"/>
  </w:style>
  <w:style w:type="character" w:styleId="CommentReference">
    <w:name w:val="annotation reference"/>
    <w:basedOn w:val="DefaultParagraphFont"/>
    <w:uiPriority w:val="99"/>
    <w:semiHidden/>
    <w:unhideWhenUsed/>
    <w:rsid w:val="00977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1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KAJIGIJA\CPI\CPI%20NEW%20BASE%20FEB%202014\CPI%20Files%20for%20publication\Website%20files\2024\April%202024\Graph%20website_April_2024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43099144045930171"/>
          <c:y val="1.223246241947029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6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7556511694450049E-2"/>
          <c:y val="9.8175572090185972E-2"/>
          <c:w val="0.92373106120819692"/>
          <c:h val="0.84636759854559462"/>
        </c:manualLayout>
      </c:layout>
      <c:lineChart>
        <c:grouping val="standard"/>
        <c:varyColors val="0"/>
        <c:ser>
          <c:idx val="0"/>
          <c:order val="0"/>
          <c:tx>
            <c:strRef>
              <c:f>'Urban (2)'!$A$6</c:f>
              <c:strCache>
                <c:ptCount val="1"/>
                <c:pt idx="0">
                  <c:v>CPI Inflation </c:v>
                </c:pt>
              </c:strCache>
            </c:strRef>
          </c:tx>
          <c:spPr>
            <a:ln w="25400">
              <a:solidFill>
                <a:srgbClr val="339966"/>
              </a:solidFill>
              <a:prstDash val="solid"/>
            </a:ln>
          </c:spPr>
          <c:marker>
            <c:symbol val="none"/>
          </c:marker>
          <c:dPt>
            <c:idx val="22"/>
            <c:bubble3D val="0"/>
            <c:extLst>
              <c:ext xmlns:c16="http://schemas.microsoft.com/office/drawing/2014/chart" uri="{C3380CC4-5D6E-409C-BE32-E72D297353CC}">
                <c16:uniqueId val="{00000000-5B00-43BA-8325-1096288EC69A}"/>
              </c:ext>
            </c:extLst>
          </c:dPt>
          <c:dLbls>
            <c:dLbl>
              <c:idx val="0"/>
              <c:layout>
                <c:manualLayout>
                  <c:x val="-2.2022194267957134E-2"/>
                  <c:y val="-1.514216194899907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00-43BA-8325-1096288EC69A}"/>
                </c:ext>
              </c:extLst>
            </c:dLbl>
            <c:dLbl>
              <c:idx val="1"/>
              <c:layout>
                <c:manualLayout>
                  <c:x val="-3.0835073150976854E-2"/>
                  <c:y val="1.892770243624866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00-43BA-8325-1096288EC69A}"/>
                </c:ext>
              </c:extLst>
            </c:dLbl>
            <c:dLbl>
              <c:idx val="2"/>
              <c:layout>
                <c:manualLayout>
                  <c:x val="-1.9954728218870676E-2"/>
                  <c:y val="-2.46038367793207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00-43BA-8325-1096288EC69A}"/>
                </c:ext>
              </c:extLst>
            </c:dLbl>
            <c:dLbl>
              <c:idx val="3"/>
              <c:layout>
                <c:manualLayout>
                  <c:x val="-1.9692453535152352E-2"/>
                  <c:y val="-3.028428500834342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B00-43BA-8325-1096288EC69A}"/>
                </c:ext>
              </c:extLst>
            </c:dLbl>
            <c:dLbl>
              <c:idx val="4"/>
              <c:layout>
                <c:manualLayout>
                  <c:x val="-1.8399266525923559E-2"/>
                  <c:y val="1.517586233238545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00-43BA-8325-1096288EC69A}"/>
                </c:ext>
              </c:extLst>
            </c:dLbl>
            <c:dLbl>
              <c:idx val="5"/>
              <c:layout>
                <c:manualLayout>
                  <c:x val="-2.7901189334042256E-2"/>
                  <c:y val="-1.13904386084274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B00-43BA-8325-1096288EC69A}"/>
                </c:ext>
              </c:extLst>
            </c:dLbl>
            <c:dLbl>
              <c:idx val="6"/>
              <c:layout>
                <c:manualLayout>
                  <c:x val="-2.4528419740042936E-2"/>
                  <c:y val="3.788497301220120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B00-43BA-8325-1096288EC69A}"/>
                </c:ext>
              </c:extLst>
            </c:dLbl>
            <c:dLbl>
              <c:idx val="7"/>
              <c:layout>
                <c:manualLayout>
                  <c:x val="-1.8913770520649287E-2"/>
                  <c:y val="-3.029278956678681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B00-43BA-8325-1096288EC69A}"/>
                </c:ext>
              </c:extLst>
            </c:dLbl>
            <c:dLbl>
              <c:idx val="8"/>
              <c:layout>
                <c:manualLayout>
                  <c:x val="-1.4164927690455506E-2"/>
                  <c:y val="1.893621998935288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B00-43BA-8325-1096288EC69A}"/>
                </c:ext>
              </c:extLst>
            </c:dLbl>
            <c:dLbl>
              <c:idx val="9"/>
              <c:layout>
                <c:manualLayout>
                  <c:x val="-3.9328610569446809E-2"/>
                  <c:y val="-1.141142153804650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B00-43BA-8325-1096288EC69A}"/>
                </c:ext>
              </c:extLst>
            </c:dLbl>
            <c:dLbl>
              <c:idx val="10"/>
              <c:layout>
                <c:manualLayout>
                  <c:x val="-1.6756062549060459E-2"/>
                  <c:y val="2.275521433874521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B00-43BA-8325-1096288EC69A}"/>
                </c:ext>
              </c:extLst>
            </c:dLbl>
            <c:dLbl>
              <c:idx val="11"/>
              <c:layout>
                <c:manualLayout>
                  <c:x val="-3.2306141296089559E-2"/>
                  <c:y val="-1.51421619489989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B00-43BA-8325-1096288EC69A}"/>
                </c:ext>
              </c:extLst>
            </c:dLbl>
            <c:dLbl>
              <c:idx val="12"/>
              <c:layout>
                <c:manualLayout>
                  <c:x val="-1.7459745431507658E-2"/>
                  <c:y val="2.011330489470396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B00-43BA-8325-1096288EC69A}"/>
                </c:ext>
              </c:extLst>
            </c:dLbl>
            <c:dLbl>
              <c:idx val="13"/>
              <c:layout>
                <c:manualLayout>
                  <c:x val="-1.1828973863749414E-2"/>
                  <c:y val="1.135671878021352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B00-43BA-8325-1096288EC69A}"/>
                </c:ext>
              </c:extLst>
            </c:dLbl>
            <c:dLbl>
              <c:idx val="14"/>
              <c:layout>
                <c:manualLayout>
                  <c:x val="-2.4874818469165182E-2"/>
                  <c:y val="-2.271313915486770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B00-43BA-8325-1096288EC69A}"/>
                </c:ext>
              </c:extLst>
            </c:dLbl>
            <c:dLbl>
              <c:idx val="15"/>
              <c:layout>
                <c:manualLayout>
                  <c:x val="-2.7222537621668763E-2"/>
                  <c:y val="-2.649884503195130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B00-43BA-8325-1096288EC69A}"/>
                </c:ext>
              </c:extLst>
            </c:dLbl>
            <c:dLbl>
              <c:idx val="16"/>
              <c:layout>
                <c:manualLayout>
                  <c:x val="-1.5711724654334441E-2"/>
                  <c:y val="-2.274685898308159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B00-43BA-8325-1096288EC69A}"/>
                </c:ext>
              </c:extLst>
            </c:dLbl>
            <c:dLbl>
              <c:idx val="17"/>
              <c:layout>
                <c:manualLayout>
                  <c:x val="-2.2193608514972169E-2"/>
                  <c:y val="1.895710837851189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B00-43BA-8325-1096288EC69A}"/>
                </c:ext>
              </c:extLst>
            </c:dLbl>
            <c:dLbl>
              <c:idx val="18"/>
              <c:layout>
                <c:manualLayout>
                  <c:x val="-1.9517730701744028E-2"/>
                  <c:y val="-2.272179291609077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B00-43BA-8325-1096288EC69A}"/>
                </c:ext>
              </c:extLst>
            </c:dLbl>
            <c:dLbl>
              <c:idx val="19"/>
              <c:layout>
                <c:manualLayout>
                  <c:x val="-3.6880800369593632E-2"/>
                  <c:y val="2.1186794718460324E-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B00-43BA-8325-1096288EC69A}"/>
                </c:ext>
              </c:extLst>
            </c:dLbl>
            <c:dLbl>
              <c:idx val="20"/>
              <c:layout>
                <c:manualLayout>
                  <c:x val="-1.6579911463607946E-2"/>
                  <c:y val="-1.89275662281298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B00-43BA-8325-1096288EC69A}"/>
                </c:ext>
              </c:extLst>
            </c:dLbl>
            <c:dLbl>
              <c:idx val="21"/>
              <c:layout>
                <c:manualLayout>
                  <c:x val="-2.5045446980046838E-2"/>
                  <c:y val="1.894875302284831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B00-43BA-8325-1096288EC69A}"/>
                </c:ext>
              </c:extLst>
            </c:dLbl>
            <c:dLbl>
              <c:idx val="22"/>
              <c:layout>
                <c:manualLayout>
                  <c:x val="-1.9951252805563275E-2"/>
                  <c:y val="-2.272179291609081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00-43BA-8325-1096288EC69A}"/>
                </c:ext>
              </c:extLst>
            </c:dLbl>
            <c:dLbl>
              <c:idx val="23"/>
              <c:layout>
                <c:manualLayout>
                  <c:x val="-3.100338163058779E-2"/>
                  <c:y val="1.89276501036942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B00-43BA-8325-1096288EC69A}"/>
                </c:ext>
              </c:extLst>
            </c:dLbl>
            <c:dLbl>
              <c:idx val="24"/>
              <c:layout>
                <c:manualLayout>
                  <c:x val="-2.0989306391294593E-2"/>
                  <c:y val="2.27596904221363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5B00-43BA-8325-1096288EC69A}"/>
                </c:ext>
              </c:extLst>
            </c:dLbl>
            <c:dLbl>
              <c:idx val="25"/>
              <c:layout>
                <c:manualLayout>
                  <c:x val="-1.7532269926687046E-2"/>
                  <c:y val="-1.892756622812985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B00-43BA-8325-1096288EC69A}"/>
                </c:ext>
              </c:extLst>
            </c:dLbl>
            <c:dLbl>
              <c:idx val="26"/>
              <c:layout>
                <c:manualLayout>
                  <c:x val="-1.1056099074226068E-2"/>
                  <c:y val="-1.328949158854409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5B00-43BA-8325-1096288EC69A}"/>
                </c:ext>
              </c:extLst>
            </c:dLbl>
            <c:dLbl>
              <c:idx val="27"/>
              <c:layout>
                <c:manualLayout>
                  <c:x val="-1.9088846687662541E-2"/>
                  <c:y val="1.51421619489989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B00-43BA-8325-1096288EC69A}"/>
                </c:ext>
              </c:extLst>
            </c:dLbl>
            <c:dLbl>
              <c:idx val="28"/>
              <c:layout>
                <c:manualLayout>
                  <c:x val="-2.0898659994888762E-2"/>
                  <c:y val="1.896993981756677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5B00-43BA-8325-1096288EC69A}"/>
                </c:ext>
              </c:extLst>
            </c:dLbl>
            <c:dLbl>
              <c:idx val="29"/>
              <c:layout>
                <c:manualLayout>
                  <c:x val="-1.2869407869554681E-2"/>
                  <c:y val="1.893204231152107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5B00-43BA-8325-1096288EC69A}"/>
                </c:ext>
              </c:extLst>
            </c:dLbl>
            <c:dLbl>
              <c:idx val="30"/>
              <c:layout>
                <c:manualLayout>
                  <c:x val="-1.0013617907157523E-2"/>
                  <c:y val="-1.512946026789650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5B00-43BA-8325-1096288EC69A}"/>
                </c:ext>
              </c:extLst>
            </c:dLbl>
            <c:dLbl>
              <c:idx val="31"/>
              <c:layout>
                <c:manualLayout>
                  <c:x val="-1.4511231202774847E-2"/>
                  <c:y val="9.4575165973172139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5B00-43BA-8325-1096288EC69A}"/>
                </c:ext>
              </c:extLst>
            </c:dLbl>
            <c:dLbl>
              <c:idx val="32"/>
              <c:layout>
                <c:manualLayout>
                  <c:x val="-1.4681424298331587E-2"/>
                  <c:y val="-1.892770243624866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5B00-43BA-8325-1096288EC69A}"/>
                </c:ext>
              </c:extLst>
            </c:dLbl>
            <c:dLbl>
              <c:idx val="33"/>
              <c:layout>
                <c:manualLayout>
                  <c:x val="-3.230174694112431E-2"/>
                  <c:y val="3.785540487249733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5B00-43BA-8325-1096288EC69A}"/>
                </c:ext>
              </c:extLst>
            </c:dLbl>
            <c:dLbl>
              <c:idx val="34"/>
              <c:layout>
                <c:manualLayout>
                  <c:x val="-3.3771774317955743E-2"/>
                  <c:y val="-7.571080974499466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5B00-43BA-8325-1096288EC69A}"/>
                </c:ext>
              </c:extLst>
            </c:dLbl>
            <c:dLbl>
              <c:idx val="35"/>
              <c:layout>
                <c:manualLayout>
                  <c:x val="-2.7894787115473812E-2"/>
                  <c:y val="1.892770243624866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5B00-43BA-8325-1096288EC69A}"/>
                </c:ext>
              </c:extLst>
            </c:dLbl>
            <c:dLbl>
              <c:idx val="36"/>
              <c:layout>
                <c:manualLayout>
                  <c:x val="-2.6430541784649316E-2"/>
                  <c:y val="3.028432389799786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5B00-43BA-8325-1096288EC69A}"/>
                </c:ext>
              </c:extLst>
            </c:dLbl>
            <c:dLbl>
              <c:idx val="37"/>
              <c:layout>
                <c:manualLayout>
                  <c:x val="-1.7616275210587898E-2"/>
                  <c:y val="1.135662146174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5B00-43BA-8325-1096288EC69A}"/>
                </c:ext>
              </c:extLst>
            </c:dLbl>
            <c:dLbl>
              <c:idx val="38"/>
              <c:layout>
                <c:manualLayout>
                  <c:x val="-1.1741253903748469E-2"/>
                  <c:y val="1.514216194899900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5B00-43BA-8325-1096288EC69A}"/>
                </c:ext>
              </c:extLst>
            </c:dLbl>
            <c:dLbl>
              <c:idx val="39"/>
              <c:layout>
                <c:manualLayout>
                  <c:x val="-8.8035119684885272E-3"/>
                  <c:y val="-1.135662146174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5B00-43BA-8325-1096288EC69A}"/>
                </c:ext>
              </c:extLst>
            </c:dLbl>
            <c:dLbl>
              <c:idx val="40"/>
              <c:layout>
                <c:manualLayout>
                  <c:x val="-1.9088848895114592E-2"/>
                  <c:y val="8.3553556634791999E-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5B00-43BA-8325-1096288EC69A}"/>
                </c:ext>
              </c:extLst>
            </c:dLbl>
            <c:dLbl>
              <c:idx val="41"/>
              <c:layout>
                <c:manualLayout>
                  <c:x val="-1.4681474995771958E-2"/>
                  <c:y val="3.785540487249733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5B00-43BA-8325-1096288EC69A}"/>
                </c:ext>
              </c:extLst>
            </c:dLbl>
            <c:dLbl>
              <c:idx val="42"/>
              <c:layout>
                <c:manualLayout>
                  <c:x val="-1.4851916923720296E-2"/>
                  <c:y val="-3.4738979234236077E-1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5B00-43BA-8325-1096288EC69A}"/>
                </c:ext>
              </c:extLst>
            </c:dLbl>
            <c:dLbl>
              <c:idx val="43"/>
              <c:layout>
                <c:manualLayout>
                  <c:x val="-1.1745179996617588E-2"/>
                  <c:y val="1.135662146174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5B00-43BA-8325-1096288EC69A}"/>
                </c:ext>
              </c:extLst>
            </c:dLbl>
            <c:dLbl>
              <c:idx val="44"/>
              <c:layout>
                <c:manualLayout>
                  <c:x val="-1.027703249704040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5B00-43BA-8325-1096288EC69A}"/>
                </c:ext>
              </c:extLst>
            </c:dLbl>
            <c:dLbl>
              <c:idx val="45"/>
              <c:layout>
                <c:manualLayout>
                  <c:x val="-1.6149622495349035E-2"/>
                  <c:y val="3.785540487249733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5B00-43BA-8325-1096288EC69A}"/>
                </c:ext>
              </c:extLst>
            </c:dLbl>
            <c:dLbl>
              <c:idx val="46"/>
              <c:layout>
                <c:manualLayout>
                  <c:x val="-2.7894802491966623E-2"/>
                  <c:y val="-1.135662146174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5B00-43BA-8325-1096288EC69A}"/>
                </c:ext>
              </c:extLst>
            </c:dLbl>
            <c:dLbl>
              <c:idx val="47"/>
              <c:layout>
                <c:manualLayout>
                  <c:x val="-1.9085917494503297E-2"/>
                  <c:y val="1.51421619489989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5B00-43BA-8325-1096288EC69A}"/>
                </c:ext>
              </c:extLst>
            </c:dLbl>
            <c:dLbl>
              <c:idx val="48"/>
              <c:layout>
                <c:manualLayout>
                  <c:x val="-1.3213327496194666E-2"/>
                  <c:y val="-3.4700386937958212E-1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5B00-43BA-8325-1096288EC69A}"/>
                </c:ext>
              </c:extLst>
            </c:dLbl>
            <c:dLbl>
              <c:idx val="49"/>
              <c:layout>
                <c:manualLayout>
                  <c:x val="-2.2022212493657885E-2"/>
                  <c:y val="-1.135662146174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5B00-43BA-8325-1096288EC69A}"/>
                </c:ext>
              </c:extLst>
            </c:dLbl>
            <c:dLbl>
              <c:idx val="50"/>
              <c:layout>
                <c:manualLayout>
                  <c:x val="-1.1745179996617481E-2"/>
                  <c:y val="-1.135662146174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5B00-43BA-8325-1096288EC69A}"/>
                </c:ext>
              </c:extLst>
            </c:dLbl>
            <c:dLbl>
              <c:idx val="51"/>
              <c:layout>
                <c:manualLayout>
                  <c:x val="-2.05540649940807E-2"/>
                  <c:y val="1.135662146174916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5B00-43BA-8325-1096288EC69A}"/>
                </c:ext>
              </c:extLst>
            </c:dLbl>
            <c:dLbl>
              <c:idx val="52"/>
              <c:layout>
                <c:manualLayout>
                  <c:x val="-2.3490359993234962E-2"/>
                  <c:y val="-1.51421619489989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5B00-43BA-8325-1096288EC69A}"/>
                </c:ext>
              </c:extLst>
            </c:dLbl>
            <c:dLbl>
              <c:idx val="53"/>
              <c:layout>
                <c:manualLayout>
                  <c:x val="-1.614962249534925E-2"/>
                  <c:y val="3.785540487249733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5B00-43BA-8325-1096288EC69A}"/>
                </c:ext>
              </c:extLst>
            </c:dLbl>
            <c:dLbl>
              <c:idx val="54"/>
              <c:layout>
                <c:manualLayout>
                  <c:x val="-2.6426654992389439E-2"/>
                  <c:y val="-1.892770243624866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5B00-43BA-8325-1096288EC69A}"/>
                </c:ext>
              </c:extLst>
            </c:dLbl>
            <c:dLbl>
              <c:idx val="55"/>
              <c:layout>
                <c:manualLayout>
                  <c:x val="-2.2022212493657885E-2"/>
                  <c:y val="7.571080974499449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5B00-43BA-8325-1096288EC69A}"/>
                </c:ext>
              </c:extLst>
            </c:dLbl>
            <c:dLbl>
              <c:idx val="56"/>
              <c:layout>
                <c:manualLayout>
                  <c:x val="-1.3213327496194773E-2"/>
                  <c:y val="-1.514216194899891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5B00-43BA-8325-1096288EC69A}"/>
                </c:ext>
              </c:extLst>
            </c:dLbl>
            <c:dLbl>
              <c:idx val="57"/>
              <c:layout>
                <c:manualLayout>
                  <c:x val="-1.1743682363071214E-2"/>
                  <c:y val="-3.4700386937958212E-1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5B00-43BA-8325-1096288EC69A}"/>
                </c:ext>
              </c:extLst>
            </c:dLbl>
            <c:dLbl>
              <c:idx val="58"/>
              <c:layout>
                <c:manualLayout>
                  <c:x val="-2.9372793715794862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A-5B00-43BA-8325-1096288EC69A}"/>
                </c:ext>
              </c:extLst>
            </c:dLbl>
            <c:dLbl>
              <c:idx val="59"/>
              <c:layout>
                <c:manualLayout>
                  <c:x val="-1.028047780052831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B-5B00-43BA-8325-1096288EC69A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'Urban (2)'!$CC$4:$DI$5</c:f>
              <c:multiLvlStrCache>
                <c:ptCount val="33"/>
                <c:lvl>
                  <c:pt idx="0">
                    <c:v>August</c:v>
                  </c:pt>
                  <c:pt idx="1">
                    <c:v>September</c:v>
                  </c:pt>
                  <c:pt idx="2">
                    <c:v>October</c:v>
                  </c:pt>
                  <c:pt idx="3">
                    <c:v>November</c:v>
                  </c:pt>
                  <c:pt idx="4">
                    <c:v>December</c:v>
                  </c:pt>
                  <c:pt idx="5">
                    <c:v>Jan</c:v>
                  </c:pt>
                  <c:pt idx="6">
                    <c:v>Feb</c:v>
                  </c:pt>
                  <c:pt idx="7">
                    <c:v>Mar</c:v>
                  </c:pt>
                  <c:pt idx="8">
                    <c:v>Apr</c:v>
                  </c:pt>
                  <c:pt idx="9">
                    <c:v>May</c:v>
                  </c:pt>
                  <c:pt idx="10">
                    <c:v>June</c:v>
                  </c:pt>
                  <c:pt idx="11">
                    <c:v>July</c:v>
                  </c:pt>
                  <c:pt idx="12">
                    <c:v>August</c:v>
                  </c:pt>
                  <c:pt idx="13">
                    <c:v>September</c:v>
                  </c:pt>
                  <c:pt idx="14">
                    <c:v>October</c:v>
                  </c:pt>
                  <c:pt idx="15">
                    <c:v>November</c:v>
                  </c:pt>
                  <c:pt idx="16">
                    <c:v>December</c:v>
                  </c:pt>
                  <c:pt idx="17">
                    <c:v>January</c:v>
                  </c:pt>
                  <c:pt idx="18">
                    <c:v>February</c:v>
                  </c:pt>
                  <c:pt idx="19">
                    <c:v>March</c:v>
                  </c:pt>
                  <c:pt idx="20">
                    <c:v>April</c:v>
                  </c:pt>
                  <c:pt idx="21">
                    <c:v>May</c:v>
                  </c:pt>
                  <c:pt idx="22">
                    <c:v>June</c:v>
                  </c:pt>
                  <c:pt idx="23">
                    <c:v>July</c:v>
                  </c:pt>
                  <c:pt idx="24">
                    <c:v>August</c:v>
                  </c:pt>
                  <c:pt idx="25">
                    <c:v>September</c:v>
                  </c:pt>
                  <c:pt idx="26">
                    <c:v>October</c:v>
                  </c:pt>
                  <c:pt idx="27">
                    <c:v>November</c:v>
                  </c:pt>
                  <c:pt idx="28">
                    <c:v>December</c:v>
                  </c:pt>
                  <c:pt idx="29">
                    <c:v>January</c:v>
                  </c:pt>
                  <c:pt idx="30">
                    <c:v>February</c:v>
                  </c:pt>
                  <c:pt idx="31">
                    <c:v>March</c:v>
                  </c:pt>
                  <c:pt idx="32">
                    <c:v>April</c:v>
                  </c:pt>
                </c:lvl>
                <c:lvl>
                  <c:pt idx="5">
                    <c:v>2022</c:v>
                  </c:pt>
                  <c:pt idx="17">
                    <c:v>2023</c:v>
                  </c:pt>
                  <c:pt idx="29">
                    <c:v>2024</c:v>
                  </c:pt>
                </c:lvl>
              </c:multiLvlStrCache>
            </c:multiLvlStrRef>
          </c:cat>
          <c:val>
            <c:numRef>
              <c:f>'Urban (2)'!$CC$6:$DI$6</c:f>
              <c:numCache>
                <c:formatCode>0.0</c:formatCode>
                <c:ptCount val="33"/>
                <c:pt idx="0">
                  <c:v>-0.5771215837348298</c:v>
                </c:pt>
                <c:pt idx="1">
                  <c:v>-0.94397107228302302</c:v>
                </c:pt>
                <c:pt idx="2">
                  <c:v>0.59240804033597882</c:v>
                </c:pt>
                <c:pt idx="3">
                  <c:v>1</c:v>
                </c:pt>
                <c:pt idx="4">
                  <c:v>1.9</c:v>
                </c:pt>
                <c:pt idx="5">
                  <c:v>4.3</c:v>
                </c:pt>
                <c:pt idx="6">
                  <c:v>5.7890400814796461</c:v>
                </c:pt>
                <c:pt idx="7">
                  <c:v>7.5322846647202679</c:v>
                </c:pt>
                <c:pt idx="8">
                  <c:v>9.9296412392041233</c:v>
                </c:pt>
                <c:pt idx="9">
                  <c:v>12.57478816894151</c:v>
                </c:pt>
                <c:pt idx="10">
                  <c:v>13.663458104563064</c:v>
                </c:pt>
                <c:pt idx="11">
                  <c:v>15.573966043249454</c:v>
                </c:pt>
                <c:pt idx="12">
                  <c:v>15.871040036536987</c:v>
                </c:pt>
                <c:pt idx="13">
                  <c:v>17.649701667701802</c:v>
                </c:pt>
                <c:pt idx="14">
                  <c:v>20.066140846299941</c:v>
                </c:pt>
                <c:pt idx="15">
                  <c:v>21.7</c:v>
                </c:pt>
                <c:pt idx="16">
                  <c:v>21.631732425985128</c:v>
                </c:pt>
                <c:pt idx="17">
                  <c:v>20.687985791866879</c:v>
                </c:pt>
                <c:pt idx="18">
                  <c:v>20.761145125025671</c:v>
                </c:pt>
                <c:pt idx="19">
                  <c:v>19.276928761302024</c:v>
                </c:pt>
                <c:pt idx="20">
                  <c:v>17.800327853513199</c:v>
                </c:pt>
                <c:pt idx="21">
                  <c:v>14.10424966989674</c:v>
                </c:pt>
                <c:pt idx="22">
                  <c:v>13.691697417600812</c:v>
                </c:pt>
                <c:pt idx="23">
                  <c:v>11.877500403329687</c:v>
                </c:pt>
                <c:pt idx="24">
                  <c:v>12.266961792275112</c:v>
                </c:pt>
                <c:pt idx="25">
                  <c:v>13.9</c:v>
                </c:pt>
                <c:pt idx="26">
                  <c:v>11.2</c:v>
                </c:pt>
                <c:pt idx="27">
                  <c:v>9.1623107024131567</c:v>
                </c:pt>
                <c:pt idx="28">
                  <c:v>6.4478216181379056</c:v>
                </c:pt>
                <c:pt idx="29">
                  <c:v>4.9602843035219113</c:v>
                </c:pt>
                <c:pt idx="30">
                  <c:v>4.9319887503363358</c:v>
                </c:pt>
                <c:pt idx="31">
                  <c:v>4.180832619430741</c:v>
                </c:pt>
                <c:pt idx="32">
                  <c:v>4.4906551968541404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C-5B00-43BA-8325-1096288EC6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10300047"/>
        <c:axId val="1"/>
      </c:lineChart>
      <c:catAx>
        <c:axId val="810300047"/>
        <c:scaling>
          <c:orientation val="minMax"/>
        </c:scaling>
        <c:delete val="0"/>
        <c:axPos val="b"/>
        <c:minorGridlines>
          <c:spPr>
            <a:ln>
              <a:solidFill>
                <a:schemeClr val="bg1">
                  <a:lumMod val="9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0"/>
        <c:lblAlgn val="ctr"/>
        <c:lblOffset val="100"/>
        <c:tickMarkSkip val="2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minorGridlines>
          <c:spPr>
            <a:ln>
              <a:solidFill>
                <a:schemeClr val="bg1">
                  <a:lumMod val="95000"/>
                </a:schemeClr>
              </a:solidFill>
            </a:ln>
          </c:spPr>
        </c:minorGridlines>
        <c:numFmt formatCode="0.0" sourceLinked="1"/>
        <c:majorTickMark val="out"/>
        <c:minorTickMark val="none"/>
        <c:tickLblPos val="nextTo"/>
        <c:spPr>
          <a:solidFill>
            <a:schemeClr val="bg1"/>
          </a:solidFill>
          <a:ln w="9525">
            <a:solidFill>
              <a:schemeClr val="tx1">
                <a:alpha val="98000"/>
              </a:schemeClr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10300047"/>
        <c:crosses val="autoZero"/>
        <c:crossBetween val="between"/>
      </c:valAx>
      <c:spPr>
        <a:solidFill>
          <a:schemeClr val="lt1"/>
        </a:solidFill>
        <a:ln w="25400">
          <a:noFill/>
        </a:ln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rgbClr val="996600"/>
      </a:solidFill>
      <a:prstDash val="solid"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12:00 11/03/2020</XMLData>
</file>

<file path=customXml/item3.xml><?xml version="1.0" encoding="utf-8"?>
<XMLData TextToDisplay="RightsWATCHMark">5|National Bank of Rwanda-Data Classification ISO-RES|{00000000-0000-0000-0000-000000000000}</XMLData>
</file>

<file path=customXml/item4.xml><?xml version="1.0" encoding="utf-8"?>
<XMLData TextToDisplay="%HOSTNAME%">BNR-STD-021.BNRW.LOCAL</XMLData>
</file>

<file path=customXml/item5.xml><?xml version="1.0" encoding="utf-8"?>
<XMLData TextToDisplay="%USERNAME%">ekajigija</XMLData>
</file>

<file path=customXml/item6.xml><?xml version="1.0" encoding="utf-8"?>
<XMLData TextToDisplay="%EMAILADDRESS%">ekajigija@bnr.rw</XMLData>
</file>

<file path=customXml/itemProps1.xml><?xml version="1.0" encoding="utf-8"?>
<ds:datastoreItem xmlns:ds="http://schemas.openxmlformats.org/officeDocument/2006/customXml" ds:itemID="{BEA41F31-AEF8-4E48-AF2D-3F64D37FAFE0}">
  <ds:schemaRefs/>
</ds:datastoreItem>
</file>

<file path=customXml/itemProps2.xml><?xml version="1.0" encoding="utf-8"?>
<ds:datastoreItem xmlns:ds="http://schemas.openxmlformats.org/officeDocument/2006/customXml" ds:itemID="{03A35E14-9508-414F-98BF-8A0A723C2AEA}">
  <ds:schemaRefs/>
</ds:datastoreItem>
</file>

<file path=customXml/itemProps3.xml><?xml version="1.0" encoding="utf-8"?>
<ds:datastoreItem xmlns:ds="http://schemas.openxmlformats.org/officeDocument/2006/customXml" ds:itemID="{9A577507-6E09-42D7-99A4-E046AEFEABAF}">
  <ds:schemaRefs/>
</ds:datastoreItem>
</file>

<file path=customXml/itemProps4.xml><?xml version="1.0" encoding="utf-8"?>
<ds:datastoreItem xmlns:ds="http://schemas.openxmlformats.org/officeDocument/2006/customXml" ds:itemID="{A5CA9AD3-A7F9-4BEE-9872-5ABC672E3FE8}">
  <ds:schemaRefs/>
</ds:datastoreItem>
</file>

<file path=customXml/itemProps5.xml><?xml version="1.0" encoding="utf-8"?>
<ds:datastoreItem xmlns:ds="http://schemas.openxmlformats.org/officeDocument/2006/customXml" ds:itemID="{9C5D7E92-DB94-4C73-A5FC-61F3BF13C344}">
  <ds:schemaRefs/>
</ds:datastoreItem>
</file>

<file path=customXml/itemProps6.xml><?xml version="1.0" encoding="utf-8"?>
<ds:datastoreItem xmlns:ds="http://schemas.openxmlformats.org/officeDocument/2006/customXml" ds:itemID="{76342257-A7BD-49A0-8A3E-F566B8C534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Nyirakanani Regine</dc:creator>
  <cp:keywords/>
  <dc:description/>
  <cp:lastModifiedBy>Kajigija Eugene</cp:lastModifiedBy>
  <cp:revision>3</cp:revision>
  <dcterms:created xsi:type="dcterms:W3CDTF">2024-05-16T14:49:00Z</dcterms:created>
  <dcterms:modified xsi:type="dcterms:W3CDTF">2024-05-16T14:50:00Z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5|National Bank of Rwanda-Data Classification ISO-RES|{00000000-0000-0000-0000-000000000000}</vt:lpwstr>
  </property>
  <property fmtid="{D5CDD505-2E9C-101B-9397-08002B2CF9AE}" pid="3" name="TitusGUID">
    <vt:lpwstr>19cfa06e-e022-431e-b455-7918098042f8</vt:lpwstr>
  </property>
  <property fmtid="{D5CDD505-2E9C-101B-9397-08002B2CF9AE}" pid="4" name="Classification">
    <vt:lpwstr>PUBLIC</vt:lpwstr>
  </property>
</Properties>
</file>