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6C4" w:rsidRPr="007C06C4" w:rsidRDefault="001755A1" w:rsidP="007C06C4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646A78">
        <w:rPr>
          <w:rFonts w:ascii="BentonSans Book" w:hAnsi="BentonSans Book"/>
          <w:b/>
        </w:rPr>
        <w:t>July</w:t>
      </w:r>
      <w:r w:rsidR="00A33B58">
        <w:rPr>
          <w:rFonts w:ascii="BentonSans Book" w:hAnsi="BentonSans Book"/>
          <w:b/>
        </w:rPr>
        <w:t xml:space="preserve"> 2021</w:t>
      </w:r>
      <w:r w:rsidRPr="003D2859">
        <w:rPr>
          <w:rFonts w:ascii="BentonSans Book" w:hAnsi="BentonSans Book"/>
        </w:rPr>
        <w:t xml:space="preserve"> </w:t>
      </w:r>
    </w:p>
    <w:p w:rsidR="007C06C4" w:rsidRPr="007C06C4" w:rsidRDefault="00646A78" w:rsidP="007C06C4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>In July</w:t>
      </w:r>
      <w:r w:rsidR="007C06C4" w:rsidRPr="007C06C4">
        <w:rPr>
          <w:rFonts w:ascii="BentonSans Book" w:hAnsi="BentonSans Book"/>
        </w:rPr>
        <w:t xml:space="preserve"> 2021, the Rwandan urban consumer price index </w:t>
      </w:r>
      <w:r w:rsidR="0034120E">
        <w:rPr>
          <w:rFonts w:ascii="BentonSans Book" w:hAnsi="BentonSans Book"/>
        </w:rPr>
        <w:t>was stable</w:t>
      </w:r>
      <w:r w:rsidR="006833AB">
        <w:rPr>
          <w:rFonts w:ascii="BentonSans Book" w:hAnsi="BentonSans Book"/>
        </w:rPr>
        <w:t xml:space="preserve"> month-on-month from 0.2</w:t>
      </w:r>
      <w:r w:rsidR="007C06C4">
        <w:rPr>
          <w:rFonts w:ascii="BentonSans Book" w:hAnsi="BentonSans Book"/>
        </w:rPr>
        <w:t>% de</w:t>
      </w:r>
      <w:r w:rsidR="007C06C4" w:rsidRPr="007C06C4">
        <w:rPr>
          <w:rFonts w:ascii="BentonSans Book" w:hAnsi="BentonSans Book"/>
        </w:rPr>
        <w:t>crease achieved in the previous month. Year-</w:t>
      </w:r>
      <w:r w:rsidR="0034120E">
        <w:rPr>
          <w:rFonts w:ascii="BentonSans Book" w:hAnsi="BentonSans Book"/>
        </w:rPr>
        <w:t>on-year, inflation stood at -0.4</w:t>
      </w:r>
      <w:r w:rsidR="007C06C4">
        <w:rPr>
          <w:rFonts w:ascii="BentonSans Book" w:hAnsi="BentonSans Book"/>
        </w:rPr>
        <w:t xml:space="preserve">% </w:t>
      </w:r>
      <w:r w:rsidR="00D645B4">
        <w:rPr>
          <w:rFonts w:ascii="BentonSans Book" w:hAnsi="BentonSans Book"/>
        </w:rPr>
        <w:t>lower than</w:t>
      </w:r>
      <w:r w:rsidR="00872894">
        <w:rPr>
          <w:rFonts w:ascii="BentonSans Book" w:hAnsi="BentonSans Book"/>
        </w:rPr>
        <w:t xml:space="preserve"> a</w:t>
      </w:r>
      <w:r w:rsidR="00D645B4">
        <w:rPr>
          <w:rFonts w:ascii="BentonSans Book" w:hAnsi="BentonSans Book"/>
        </w:rPr>
        <w:t xml:space="preserve"> </w:t>
      </w:r>
      <w:r w:rsidR="00FD27C9">
        <w:rPr>
          <w:rFonts w:ascii="BentonSans Book" w:hAnsi="BentonSans Book"/>
        </w:rPr>
        <w:t xml:space="preserve">decrease of 0.2% recorded </w:t>
      </w:r>
      <w:r w:rsidR="0034120E">
        <w:rPr>
          <w:rFonts w:ascii="BentonSans Book" w:hAnsi="BentonSans Book"/>
        </w:rPr>
        <w:t>in June</w:t>
      </w:r>
      <w:r w:rsidR="007C06C4" w:rsidRPr="007C06C4">
        <w:rPr>
          <w:rFonts w:ascii="BentonSans Book" w:hAnsi="BentonSans Book"/>
        </w:rPr>
        <w:t xml:space="preserve"> 2021. Compared to the previous month, prices of local goods and services </w:t>
      </w:r>
      <w:r w:rsidR="00D93CB2">
        <w:rPr>
          <w:rFonts w:ascii="BentonSans Book" w:hAnsi="BentonSans Book"/>
        </w:rPr>
        <w:t xml:space="preserve">decreased by </w:t>
      </w:r>
      <w:r w:rsidR="0034120E">
        <w:rPr>
          <w:rFonts w:ascii="BentonSans Book" w:hAnsi="BentonSans Book"/>
        </w:rPr>
        <w:t>2.0</w:t>
      </w:r>
      <w:r w:rsidR="00D93CB2">
        <w:rPr>
          <w:rFonts w:ascii="BentonSans Book" w:hAnsi="BentonSans Book"/>
        </w:rPr>
        <w:t>% y-o-y, which</w:t>
      </w:r>
      <w:r w:rsidR="003A3700">
        <w:rPr>
          <w:rFonts w:ascii="BentonSans Book" w:hAnsi="BentonSans Book"/>
        </w:rPr>
        <w:t xml:space="preserve"> is </w:t>
      </w:r>
      <w:r w:rsidR="00D93CB2">
        <w:rPr>
          <w:rFonts w:ascii="BentonSans Book" w:hAnsi="BentonSans Book"/>
        </w:rPr>
        <w:t>lower than</w:t>
      </w:r>
      <w:r w:rsidR="00FD27C9">
        <w:rPr>
          <w:rFonts w:ascii="BentonSans Book" w:hAnsi="BentonSans Book"/>
        </w:rPr>
        <w:t xml:space="preserve"> a decrease of 1.8% y-o-y recorded </w:t>
      </w:r>
      <w:r w:rsidR="00D93CB2">
        <w:rPr>
          <w:rFonts w:ascii="BentonSans Book" w:hAnsi="BentonSans Book"/>
        </w:rPr>
        <w:t>in June</w:t>
      </w:r>
      <w:r w:rsidR="00D93CB2" w:rsidRPr="00D93CB2">
        <w:rPr>
          <w:rFonts w:ascii="BentonSans Book" w:hAnsi="BentonSans Book"/>
        </w:rPr>
        <w:t xml:space="preserve"> 2021 while</w:t>
      </w:r>
      <w:r w:rsidR="007C06C4" w:rsidRPr="007C06C4">
        <w:rPr>
          <w:rFonts w:ascii="BentonSans Book" w:hAnsi="BentonSans Book"/>
        </w:rPr>
        <w:t xml:space="preserve"> prices for</w:t>
      </w:r>
      <w:r w:rsidR="00D93CB2">
        <w:rPr>
          <w:rFonts w:ascii="BentonSans Book" w:hAnsi="BentonSans Book"/>
        </w:rPr>
        <w:t xml:space="preserve"> imported goods increased by 5.1</w:t>
      </w:r>
      <w:r w:rsidR="007C06C4" w:rsidRPr="007C06C4">
        <w:rPr>
          <w:rFonts w:ascii="BentonSans Book" w:hAnsi="BentonSans Book"/>
        </w:rPr>
        <w:t>% y-o-y, which</w:t>
      </w:r>
      <w:r w:rsidR="003A3700">
        <w:rPr>
          <w:rFonts w:ascii="BentonSans Book" w:hAnsi="BentonSans Book"/>
        </w:rPr>
        <w:t xml:space="preserve"> is</w:t>
      </w:r>
      <w:r w:rsidR="00D93CB2">
        <w:rPr>
          <w:rFonts w:ascii="BentonSans Book" w:hAnsi="BentonSans Book"/>
        </w:rPr>
        <w:t xml:space="preserve"> lower than an increase of 5.3% y-o-y in June</w:t>
      </w:r>
      <w:r w:rsidR="007C06C4" w:rsidRPr="007C06C4">
        <w:rPr>
          <w:rFonts w:ascii="BentonSans Book" w:hAnsi="BentonSans Book"/>
        </w:rPr>
        <w:t xml:space="preserve"> 2021.</w:t>
      </w:r>
    </w:p>
    <w:p w:rsidR="007C06C4" w:rsidRPr="007C06C4" w:rsidRDefault="007C06C4" w:rsidP="00201D0F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 xml:space="preserve">On monthly </w:t>
      </w:r>
      <w:r w:rsidR="00C376DA" w:rsidRPr="007C06C4">
        <w:rPr>
          <w:rFonts w:ascii="BentonSans Book" w:hAnsi="BentonSans Book"/>
        </w:rPr>
        <w:t>basi</w:t>
      </w:r>
      <w:r w:rsidR="00C376DA">
        <w:rPr>
          <w:rFonts w:ascii="BentonSans Book" w:hAnsi="BentonSans Book"/>
        </w:rPr>
        <w:t>s,</w:t>
      </w:r>
      <w:r w:rsidR="00D645B4">
        <w:rPr>
          <w:rFonts w:ascii="BentonSans Book" w:hAnsi="BentonSans Book"/>
        </w:rPr>
        <w:t xml:space="preserve"> the inflation </w:t>
      </w:r>
      <w:r w:rsidR="00DD559C">
        <w:rPr>
          <w:rFonts w:ascii="BentonSans Book" w:hAnsi="BentonSans Book"/>
        </w:rPr>
        <w:t>was stable</w:t>
      </w:r>
      <w:r w:rsidR="00D9352D">
        <w:rPr>
          <w:rFonts w:ascii="BentonSans Book" w:hAnsi="BentonSans Book"/>
        </w:rPr>
        <w:t>,</w:t>
      </w:r>
      <w:r w:rsidR="00D645B4" w:rsidRPr="00E1653D">
        <w:rPr>
          <w:rFonts w:ascii="BentonSans Book" w:hAnsi="BentonSans Book"/>
        </w:rPr>
        <w:t xml:space="preserve"> </w:t>
      </w:r>
      <w:r w:rsidR="00B94333">
        <w:rPr>
          <w:rFonts w:ascii="BentonSans Book" w:hAnsi="BentonSans Book"/>
        </w:rPr>
        <w:t xml:space="preserve">which is an improvement from </w:t>
      </w:r>
      <w:r w:rsidR="00DD559C">
        <w:rPr>
          <w:rFonts w:ascii="BentonSans Book" w:hAnsi="BentonSans Book"/>
        </w:rPr>
        <w:t>0.2</w:t>
      </w:r>
      <w:r w:rsidR="00CE30E5" w:rsidRPr="00E1653D">
        <w:rPr>
          <w:rFonts w:ascii="BentonSans Book" w:hAnsi="BentonSans Book"/>
        </w:rPr>
        <w:t>%</w:t>
      </w:r>
      <w:r w:rsidR="00DD559C">
        <w:rPr>
          <w:rFonts w:ascii="BentonSans Book" w:hAnsi="BentonSans Book"/>
        </w:rPr>
        <w:t xml:space="preserve"> decrease in June</w:t>
      </w:r>
      <w:r w:rsidR="00A8193C">
        <w:rPr>
          <w:rFonts w:ascii="BentonSans Book" w:hAnsi="BentonSans Book"/>
        </w:rPr>
        <w:t xml:space="preserve">. </w:t>
      </w:r>
    </w:p>
    <w:p w:rsidR="007C06C4" w:rsidRPr="007C06C4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Year-on-year, consu</w:t>
      </w:r>
      <w:r w:rsidR="00C376DA">
        <w:rPr>
          <w:rFonts w:ascii="BentonSans Book" w:hAnsi="BentonSans Book"/>
        </w:rPr>
        <w:t>mer price index decreased by 0.4% in July</w:t>
      </w:r>
      <w:r w:rsidRPr="007C06C4">
        <w:rPr>
          <w:rFonts w:ascii="BentonSans Book" w:hAnsi="BentonSans Book"/>
        </w:rPr>
        <w:t xml:space="preserve"> 2021</w:t>
      </w:r>
      <w:r w:rsidR="00C376DA">
        <w:rPr>
          <w:rFonts w:ascii="BentonSans Book" w:hAnsi="BentonSans Book"/>
        </w:rPr>
        <w:t xml:space="preserve"> compared to 0.2% decrease in June</w:t>
      </w:r>
      <w:r w:rsidR="00A8193C">
        <w:rPr>
          <w:rFonts w:ascii="BentonSans Book" w:hAnsi="BentonSans Book"/>
        </w:rPr>
        <w:t xml:space="preserve"> 2021 </w:t>
      </w:r>
      <w:r w:rsidRPr="007C06C4">
        <w:rPr>
          <w:rFonts w:ascii="BentonSans Book" w:hAnsi="BentonSans Book"/>
        </w:rPr>
        <w:t xml:space="preserve">due to slowdown in inflationary pressures of </w:t>
      </w:r>
      <w:r w:rsidR="00201D0F">
        <w:rPr>
          <w:rFonts w:ascii="BentonSans Book" w:hAnsi="BentonSans Book"/>
        </w:rPr>
        <w:t xml:space="preserve">transport </w:t>
      </w:r>
      <w:r w:rsidR="00A8193C">
        <w:rPr>
          <w:rFonts w:ascii="BentonSans Book" w:hAnsi="BentonSans Book"/>
        </w:rPr>
        <w:t xml:space="preserve">which </w:t>
      </w:r>
      <w:r w:rsidR="00201D0F">
        <w:rPr>
          <w:rFonts w:ascii="BentonSans Book" w:hAnsi="BentonSans Book"/>
        </w:rPr>
        <w:t>decreas</w:t>
      </w:r>
      <w:r w:rsidR="00C376DA">
        <w:rPr>
          <w:rFonts w:ascii="BentonSans Book" w:hAnsi="BentonSans Book"/>
        </w:rPr>
        <w:t>ed by 13.5</w:t>
      </w:r>
      <w:r w:rsidRPr="007C06C4">
        <w:rPr>
          <w:rFonts w:ascii="BentonSans Book" w:hAnsi="BentonSans Book"/>
        </w:rPr>
        <w:t xml:space="preserve">% in </w:t>
      </w:r>
      <w:r w:rsidR="00C376DA">
        <w:rPr>
          <w:rFonts w:ascii="BentonSans Book" w:hAnsi="BentonSans Book"/>
        </w:rPr>
        <w:t>July  compared to a decrease of 13.9% in June</w:t>
      </w:r>
      <w:r w:rsidR="00A8193C">
        <w:rPr>
          <w:rFonts w:ascii="BentonSans Book" w:hAnsi="BentonSans Book"/>
        </w:rPr>
        <w:t xml:space="preserve"> 2021.</w:t>
      </w:r>
    </w:p>
    <w:p w:rsidR="00866885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Excluding fresh food products and</w:t>
      </w:r>
      <w:r w:rsidR="003C04D6">
        <w:rPr>
          <w:rFonts w:ascii="BentonSans Book" w:hAnsi="BentonSans Book"/>
        </w:rPr>
        <w:t xml:space="preserve"> energy, consumer price index </w:t>
      </w:r>
      <w:r w:rsidR="00EF160C">
        <w:rPr>
          <w:rFonts w:ascii="BentonSans Book" w:hAnsi="BentonSans Book"/>
        </w:rPr>
        <w:t>was stable in July</w:t>
      </w:r>
      <w:r w:rsidRPr="007C06C4">
        <w:rPr>
          <w:rFonts w:ascii="BentonSans Book" w:hAnsi="BentonSans Book"/>
        </w:rPr>
        <w:t xml:space="preserve"> 2021 compared to previous month.</w:t>
      </w:r>
      <w:r w:rsidR="00BC077C">
        <w:rPr>
          <w:rFonts w:ascii="BentonSans Book" w:hAnsi="BentonSans Book"/>
        </w:rPr>
        <w:t xml:space="preserve"> Fresh products decreased by 3.5 % in July compared to a decrease of 2.2% in June</w:t>
      </w:r>
      <w:r w:rsidRPr="007C06C4">
        <w:rPr>
          <w:rFonts w:ascii="BentonSans Book" w:hAnsi="BentonSans Book"/>
        </w:rPr>
        <w:t xml:space="preserve"> 2021. Ener</w:t>
      </w:r>
      <w:r w:rsidR="00350FFE">
        <w:rPr>
          <w:rFonts w:ascii="BentonSans Book" w:hAnsi="BentonSans Book"/>
        </w:rPr>
        <w:t xml:space="preserve">gy prices increased by </w:t>
      </w:r>
      <w:r w:rsidR="00BC077C">
        <w:rPr>
          <w:rFonts w:ascii="BentonSans Book" w:hAnsi="BentonSans Book"/>
        </w:rPr>
        <w:t>4.4% in July</w:t>
      </w:r>
      <w:r w:rsidRPr="007C06C4">
        <w:rPr>
          <w:rFonts w:ascii="BentonSans Book" w:hAnsi="BentonSans Book"/>
        </w:rPr>
        <w:t xml:space="preserve"> 2021, which </w:t>
      </w:r>
      <w:r w:rsidR="00350FFE">
        <w:rPr>
          <w:rFonts w:ascii="BentonSans Book" w:hAnsi="BentonSans Book"/>
        </w:rPr>
        <w:t>i</w:t>
      </w:r>
      <w:r w:rsidR="00BC077C">
        <w:rPr>
          <w:rFonts w:ascii="BentonSans Book" w:hAnsi="BentonSans Book"/>
        </w:rPr>
        <w:t>s higher than an increase of 1.8% in June</w:t>
      </w:r>
      <w:r w:rsidRPr="007C06C4">
        <w:rPr>
          <w:rFonts w:ascii="BentonSans Book" w:hAnsi="BentonSans Book"/>
        </w:rPr>
        <w:t xml:space="preserve"> 2021.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BC077C">
        <w:rPr>
          <w:rFonts w:ascii="BentonSans Book" w:hAnsi="BentonSans Book"/>
          <w:b/>
        </w:rPr>
        <w:t>July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BC077C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36672665" wp14:editId="3A59D644">
            <wp:extent cx="6334125" cy="36004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389" w:rsidRDefault="00C01389" w:rsidP="00607D4A">
      <w:pPr>
        <w:spacing w:after="0" w:line="240" w:lineRule="auto"/>
      </w:pPr>
      <w:r>
        <w:separator/>
      </w:r>
    </w:p>
  </w:endnote>
  <w:endnote w:type="continuationSeparator" w:id="0">
    <w:p w:rsidR="00C01389" w:rsidRDefault="00C01389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389" w:rsidRDefault="00C01389" w:rsidP="00607D4A">
      <w:pPr>
        <w:spacing w:after="0" w:line="240" w:lineRule="auto"/>
      </w:pPr>
      <w:r>
        <w:separator/>
      </w:r>
    </w:p>
  </w:footnote>
  <w:footnote w:type="continuationSeparator" w:id="0">
    <w:p w:rsidR="00C01389" w:rsidRDefault="00C01389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C18" w:rsidRDefault="00C0138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A7059"/>
    <w:rsid w:val="001B7419"/>
    <w:rsid w:val="001C02C0"/>
    <w:rsid w:val="001C5086"/>
    <w:rsid w:val="001C6189"/>
    <w:rsid w:val="001D5145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4120E"/>
    <w:rsid w:val="00350FFE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ECA"/>
    <w:rsid w:val="00455621"/>
    <w:rsid w:val="004638A3"/>
    <w:rsid w:val="00470083"/>
    <w:rsid w:val="00472FFD"/>
    <w:rsid w:val="00493053"/>
    <w:rsid w:val="004950E2"/>
    <w:rsid w:val="00495644"/>
    <w:rsid w:val="004A1422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6A78"/>
    <w:rsid w:val="006504B8"/>
    <w:rsid w:val="00655D16"/>
    <w:rsid w:val="0065657C"/>
    <w:rsid w:val="00656691"/>
    <w:rsid w:val="0066106C"/>
    <w:rsid w:val="0068184D"/>
    <w:rsid w:val="006833AB"/>
    <w:rsid w:val="00691E3E"/>
    <w:rsid w:val="006A57AF"/>
    <w:rsid w:val="006B24C7"/>
    <w:rsid w:val="006C274A"/>
    <w:rsid w:val="006C7643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2C18"/>
    <w:rsid w:val="007341FA"/>
    <w:rsid w:val="007407FD"/>
    <w:rsid w:val="00751CEA"/>
    <w:rsid w:val="00764BB3"/>
    <w:rsid w:val="007669A6"/>
    <w:rsid w:val="0077213C"/>
    <w:rsid w:val="00776BC9"/>
    <w:rsid w:val="0077719D"/>
    <w:rsid w:val="00784C2A"/>
    <w:rsid w:val="00786E96"/>
    <w:rsid w:val="007A5455"/>
    <w:rsid w:val="007B0806"/>
    <w:rsid w:val="007B5A09"/>
    <w:rsid w:val="007C06C4"/>
    <w:rsid w:val="007C563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2B6F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50BBD"/>
    <w:rsid w:val="009624D1"/>
    <w:rsid w:val="009771C3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1170"/>
    <w:rsid w:val="009D43D2"/>
    <w:rsid w:val="009D69EE"/>
    <w:rsid w:val="009F14FC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73B5"/>
    <w:rsid w:val="00A80C49"/>
    <w:rsid w:val="00A8193C"/>
    <w:rsid w:val="00AA25D1"/>
    <w:rsid w:val="00AA6308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B100FD"/>
    <w:rsid w:val="00B1626A"/>
    <w:rsid w:val="00B17F9C"/>
    <w:rsid w:val="00B41A15"/>
    <w:rsid w:val="00B4280E"/>
    <w:rsid w:val="00B45A97"/>
    <w:rsid w:val="00B5508A"/>
    <w:rsid w:val="00B806C2"/>
    <w:rsid w:val="00B92207"/>
    <w:rsid w:val="00B94333"/>
    <w:rsid w:val="00BA1878"/>
    <w:rsid w:val="00BA657C"/>
    <w:rsid w:val="00BB63A8"/>
    <w:rsid w:val="00BC077C"/>
    <w:rsid w:val="00BD1159"/>
    <w:rsid w:val="00BD2AFE"/>
    <w:rsid w:val="00BE2539"/>
    <w:rsid w:val="00BE4682"/>
    <w:rsid w:val="00C01389"/>
    <w:rsid w:val="00C0150E"/>
    <w:rsid w:val="00C01D56"/>
    <w:rsid w:val="00C11B6D"/>
    <w:rsid w:val="00C244EE"/>
    <w:rsid w:val="00C24D32"/>
    <w:rsid w:val="00C27D19"/>
    <w:rsid w:val="00C34746"/>
    <w:rsid w:val="00C376DA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D0AC2"/>
    <w:rsid w:val="00CE27D3"/>
    <w:rsid w:val="00CE30E5"/>
    <w:rsid w:val="00CE3AA4"/>
    <w:rsid w:val="00CE5EB9"/>
    <w:rsid w:val="00CF46E9"/>
    <w:rsid w:val="00CF66A7"/>
    <w:rsid w:val="00D02F76"/>
    <w:rsid w:val="00D0558A"/>
    <w:rsid w:val="00D2272F"/>
    <w:rsid w:val="00D302C5"/>
    <w:rsid w:val="00D633E2"/>
    <w:rsid w:val="00D645B4"/>
    <w:rsid w:val="00D75562"/>
    <w:rsid w:val="00D760D0"/>
    <w:rsid w:val="00D77D4A"/>
    <w:rsid w:val="00D80516"/>
    <w:rsid w:val="00D92C30"/>
    <w:rsid w:val="00D9352D"/>
    <w:rsid w:val="00D93CB2"/>
    <w:rsid w:val="00D97241"/>
    <w:rsid w:val="00DA0DC3"/>
    <w:rsid w:val="00DA1F32"/>
    <w:rsid w:val="00DA74C9"/>
    <w:rsid w:val="00DB3506"/>
    <w:rsid w:val="00DB42B5"/>
    <w:rsid w:val="00DC23E4"/>
    <w:rsid w:val="00DD52E9"/>
    <w:rsid w:val="00DD559C"/>
    <w:rsid w:val="00DD5AFB"/>
    <w:rsid w:val="00DD641C"/>
    <w:rsid w:val="00DD6D85"/>
    <w:rsid w:val="00DE1D9F"/>
    <w:rsid w:val="00DF5D10"/>
    <w:rsid w:val="00DF74B8"/>
    <w:rsid w:val="00E06A26"/>
    <w:rsid w:val="00E15E36"/>
    <w:rsid w:val="00E1653D"/>
    <w:rsid w:val="00E2063E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27C9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582609E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848809649"/>
          <c:y val="1.22324624194702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E13E-4FEA-9882-CE18623F888A}"/>
              </c:ext>
            </c:extLst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3E-4FEA-9882-CE18623F888A}"/>
                </c:ext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3E-4FEA-9882-CE18623F888A}"/>
                </c:ext>
              </c:extLst>
            </c:dLbl>
            <c:dLbl>
              <c:idx val="2"/>
              <c:layout>
                <c:manualLayout>
                  <c:x val="-3.0837964173980378E-2"/>
                  <c:y val="-2.6498783410748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3E-4FEA-9882-CE18623F888A}"/>
                </c:ext>
              </c:extLst>
            </c:dLbl>
            <c:dLbl>
              <c:idx val="3"/>
              <c:layout>
                <c:manualLayout>
                  <c:x val="-2.9366433465187112E-2"/>
                  <c:y val="-3.02843238979979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3E-4FEA-9882-CE18623F888A}"/>
                </c:ext>
              </c:extLst>
            </c:dLbl>
            <c:dLbl>
              <c:idx val="4"/>
              <c:layout>
                <c:manualLayout>
                  <c:x val="-3.2305678732408992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3E-4FEA-9882-CE18623F888A}"/>
                </c:ext>
              </c:extLst>
            </c:dLbl>
            <c:dLbl>
              <c:idx val="5"/>
              <c:layout>
                <c:manualLayout>
                  <c:x val="-2.7901147366081454E-2"/>
                  <c:y val="1.8927702436248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3E-4FEA-9882-CE18623F888A}"/>
                </c:ext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3E-4FEA-9882-CE18623F888A}"/>
                </c:ext>
              </c:extLst>
            </c:dLbl>
            <c:dLbl>
              <c:idx val="7"/>
              <c:layout>
                <c:manualLayout>
                  <c:x val="-1.4681424298331398E-2"/>
                  <c:y val="-2.2713242923498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3E-4FEA-9882-CE18623F888A}"/>
                </c:ext>
              </c:extLst>
            </c:dLbl>
            <c:dLbl>
              <c:idx val="8"/>
              <c:layout>
                <c:manualLayout>
                  <c:x val="-3.2303712836766627E-2"/>
                  <c:y val="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13E-4FEA-9882-CE18623F888A}"/>
                </c:ext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3E-4FEA-9882-CE18623F888A}"/>
                </c:ext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13E-4FEA-9882-CE18623F888A}"/>
                </c:ext>
              </c:extLst>
            </c:dLbl>
            <c:dLbl>
              <c:idx val="11"/>
              <c:layout>
                <c:manualLayout>
                  <c:x val="-3.2306141296089559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13E-4FEA-9882-CE18623F888A}"/>
                </c:ext>
              </c:extLst>
            </c:dLbl>
            <c:dLbl>
              <c:idx val="12"/>
              <c:layout>
                <c:manualLayout>
                  <c:x val="-1.6145207065475196E-2"/>
                  <c:y val="-2.2713242923498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13E-4FEA-9882-CE18623F888A}"/>
                </c:ext>
              </c:extLst>
            </c:dLbl>
            <c:dLbl>
              <c:idx val="13"/>
              <c:layout>
                <c:manualLayout>
                  <c:x val="-1.9084452332697076E-2"/>
                  <c:y val="1.13566214617490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13E-4FEA-9882-CE18623F888A}"/>
                </c:ext>
              </c:extLst>
            </c:dLbl>
            <c:dLbl>
              <c:idx val="14"/>
              <c:layout>
                <c:manualLayout>
                  <c:x val="-1.7619281874511561E-2"/>
                  <c:y val="-2.2713242923498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13E-4FEA-9882-CE18623F888A}"/>
                </c:ext>
              </c:extLst>
            </c:dLbl>
            <c:dLbl>
              <c:idx val="15"/>
              <c:layout>
                <c:manualLayout>
                  <c:x val="-1.4683390193973767E-2"/>
                  <c:y val="-2.6498783410748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13E-4FEA-9882-CE18623F888A}"/>
                </c:ext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13E-4FEA-9882-CE18623F888A}"/>
                </c:ext>
              </c:extLst>
            </c:dLbl>
            <c:dLbl>
              <c:idx val="17"/>
              <c:layout>
                <c:manualLayout>
                  <c:x val="-3.6704659334569817E-2"/>
                  <c:y val="-7.571080974499466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13E-4FEA-9882-CE18623F888A}"/>
                </c:ext>
              </c:extLst>
            </c:dLbl>
            <c:dLbl>
              <c:idx val="18"/>
              <c:layout>
                <c:manualLayout>
                  <c:x val="-3.5237985544422416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13E-4FEA-9882-CE18623F888A}"/>
                </c:ext>
              </c:extLst>
            </c:dLbl>
            <c:dLbl>
              <c:idx val="19"/>
              <c:layout>
                <c:manualLayout>
                  <c:x val="-3.0834494946376148E-2"/>
                  <c:y val="-1.8927702436248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13E-4FEA-9882-CE18623F888A}"/>
                </c:ext>
              </c:extLst>
            </c:dLbl>
            <c:dLbl>
              <c:idx val="20"/>
              <c:layout>
                <c:manualLayout>
                  <c:x val="-3.2300243609162366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13E-4FEA-9882-CE18623F888A}"/>
                </c:ext>
              </c:extLst>
            </c:dLbl>
            <c:dLbl>
              <c:idx val="21"/>
              <c:layout>
                <c:manualLayout>
                  <c:x val="-1.1743682363071321E-2"/>
                  <c:y val="-6.9400773875916424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13E-4FEA-9882-CE18623F888A}"/>
                </c:ext>
              </c:extLst>
            </c:dLbl>
            <c:dLbl>
              <c:idx val="22"/>
              <c:layout>
                <c:manualLayout>
                  <c:x val="-3.0834494946376148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3E-4FEA-9882-CE18623F888A}"/>
                </c:ext>
              </c:extLst>
            </c:dLbl>
            <c:dLbl>
              <c:idx val="23"/>
              <c:layout>
                <c:manualLayout>
                  <c:x val="-2.0554017145847949E-2"/>
                  <c:y val="1.89277024362486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13E-4FEA-9882-CE18623F888A}"/>
                </c:ext>
              </c:extLst>
            </c:dLbl>
            <c:dLbl>
              <c:idx val="24"/>
              <c:layout>
                <c:manualLayout>
                  <c:x val="-3.6709631894135827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13E-4FEA-9882-CE18623F888A}"/>
                </c:ext>
              </c:extLst>
            </c:dLbl>
            <c:dLbl>
              <c:idx val="25"/>
              <c:layout>
                <c:manualLayout>
                  <c:x val="-3.0834032382695584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13E-4FEA-9882-CE18623F888A}"/>
                </c:ext>
              </c:extLst>
            </c:dLbl>
            <c:dLbl>
              <c:idx val="26"/>
              <c:layout>
                <c:manualLayout>
                  <c:x val="-2.4962480303460276E-2"/>
                  <c:y val="2.2713242923498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13E-4FEA-9882-CE18623F888A}"/>
                </c:ext>
              </c:extLst>
            </c:dLbl>
            <c:dLbl>
              <c:idx val="27"/>
              <c:layout>
                <c:manualLayout>
                  <c:x val="-1.9088846687662541E-2"/>
                  <c:y val="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13E-4FEA-9882-CE18623F888A}"/>
                </c:ext>
              </c:extLst>
            </c:dLbl>
            <c:dLbl>
              <c:idx val="28"/>
              <c:layout>
                <c:manualLayout>
                  <c:x val="-2.9363426801263554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13E-4FEA-9882-CE18623F888A}"/>
                </c:ext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E13E-4FEA-9882-CE18623F888A}"/>
                </c:ext>
              </c:extLst>
            </c:dLbl>
            <c:dLbl>
              <c:idx val="30"/>
              <c:layout>
                <c:manualLayout>
                  <c:x val="-1.9082949000735244E-2"/>
                  <c:y val="-2.6498783410748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13E-4FEA-9882-CE18623F888A}"/>
                </c:ext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E13E-4FEA-9882-CE18623F888A}"/>
                </c:ext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13E-4FEA-9882-CE18623F888A}"/>
                </c:ext>
              </c:extLst>
            </c:dLbl>
            <c:dLbl>
              <c:idx val="33"/>
              <c:layout>
                <c:manualLayout>
                  <c:x val="-3.230174694112431E-2"/>
                  <c:y val="3.78554048724973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13E-4FEA-9882-CE18623F888A}"/>
                </c:ext>
              </c:extLst>
            </c:dLbl>
            <c:dLbl>
              <c:idx val="34"/>
              <c:layout>
                <c:manualLayout>
                  <c:x val="-3.3771774317955743E-2"/>
                  <c:y val="-7.571080974499466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13E-4FEA-9882-CE18623F888A}"/>
                </c:ext>
              </c:extLst>
            </c:dLbl>
            <c:dLbl>
              <c:idx val="35"/>
              <c:layout>
                <c:manualLayout>
                  <c:x val="-2.7894787115473812E-2"/>
                  <c:y val="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13E-4FEA-9882-CE18623F888A}"/>
                </c:ext>
              </c:extLst>
            </c:dLbl>
            <c:dLbl>
              <c:idx val="36"/>
              <c:layout>
                <c:manualLayout>
                  <c:x val="-2.6430541784649316E-2"/>
                  <c:y val="3.0284323897997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13E-4FEA-9882-CE18623F888A}"/>
                </c:ext>
              </c:extLst>
            </c:dLbl>
            <c:dLbl>
              <c:idx val="37"/>
              <c:layout>
                <c:manualLayout>
                  <c:x val="-1.7616275210587898E-2"/>
                  <c:y val="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E13E-4FEA-9882-CE18623F888A}"/>
                </c:ext>
              </c:extLst>
            </c:dLbl>
            <c:dLbl>
              <c:idx val="38"/>
              <c:layout>
                <c:manualLayout>
                  <c:x val="-1.1741253903748469E-2"/>
                  <c:y val="1.5142161948999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E13E-4FEA-9882-CE18623F888A}"/>
                </c:ext>
              </c:extLst>
            </c:dLbl>
            <c:dLbl>
              <c:idx val="39"/>
              <c:layout>
                <c:manualLayout>
                  <c:x val="-8.8035119684885272E-3"/>
                  <c:y val="-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E13E-4FEA-9882-CE18623F888A}"/>
                </c:ext>
              </c:extLst>
            </c:dLbl>
            <c:dLbl>
              <c:idx val="40"/>
              <c:layout>
                <c:manualLayout>
                  <c:x val="-2.3098849485919525E-2"/>
                  <c:y val="-1.4101015150883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E13E-4FEA-9882-CE18623F888A}"/>
                </c:ext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E13E-4FEA-9882-CE18623F888A}"/>
                </c:ext>
              </c:extLst>
            </c:dLbl>
            <c:dLbl>
              <c:idx val="42"/>
              <c:layout>
                <c:manualLayout>
                  <c:x val="-1.2928383952005998E-3"/>
                  <c:y val="2.4691358024691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E13E-4FEA-9882-CE18623F888A}"/>
                </c:ext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E13E-4FEA-9882-CE18623F888A}"/>
                </c:ext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E13E-4FEA-9882-CE18623F888A}"/>
                </c:ext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E13E-4FEA-9882-CE18623F888A}"/>
                </c:ext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E13E-4FEA-9882-CE18623F888A}"/>
                </c:ext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E13E-4FEA-9882-CE18623F888A}"/>
                </c:ext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E13E-4FEA-9882-CE18623F888A}"/>
                </c:ext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E13E-4FEA-9882-CE18623F888A}"/>
                </c:ext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E13E-4FEA-9882-CE18623F888A}"/>
                </c:ext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E13E-4FEA-9882-CE18623F888A}"/>
                </c:ext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E13E-4FEA-9882-CE18623F888A}"/>
                </c:ext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E13E-4FEA-9882-CE18623F888A}"/>
                </c:ext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E13E-4FEA-9882-CE18623F888A}"/>
                </c:ext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E13E-4FEA-9882-CE18623F888A}"/>
                </c:ext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E13E-4FEA-9882-CE18623F888A}"/>
                </c:ext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E13E-4FEA-9882-CE18623F888A}"/>
                </c:ext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E13E-4FEA-9882-CE18623F888A}"/>
                </c:ext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E13E-4FEA-9882-CE18623F888A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(2)'!$AL$4:$CB$5</c:f>
              <c:multiLvlStrCache>
                <c:ptCount val="43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  <c:pt idx="41">
                    <c:v>June</c:v>
                  </c:pt>
                  <c:pt idx="42">
                    <c:v>July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(2)'!$AL$6:$CB$6</c:f>
              <c:numCache>
                <c:formatCode>0.0</c:formatCode>
                <c:ptCount val="43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  <c:pt idx="37">
                  <c:v>1.5655868736821121</c:v>
                </c:pt>
                <c:pt idx="38">
                  <c:v>2.0093152659534708</c:v>
                </c:pt>
                <c:pt idx="39">
                  <c:v>2.350611378002343</c:v>
                </c:pt>
                <c:pt idx="40">
                  <c:v>-0.13945041303448091</c:v>
                </c:pt>
                <c:pt idx="41">
                  <c:v>-0.2</c:v>
                </c:pt>
                <c:pt idx="42">
                  <c:v>-0.37387337423858691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D-E13E-4FEA-9882-CE18623F8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7407936"/>
        <c:axId val="1"/>
      </c:lineChart>
      <c:catAx>
        <c:axId val="1957407936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/>
            </a:pPr>
            <a:endParaRPr lang="en-US"/>
          </a:p>
        </c:txPr>
        <c:crossAx val="1"/>
        <c:crosses val="autoZero"/>
        <c:auto val="0"/>
        <c:lblAlgn val="ctr"/>
        <c:lblOffset val="100"/>
        <c:tickMarkSkip val="2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957407936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HOSTNAME%">BNR-STD-021.BNRW.LOCAL</XMLData>
</file>

<file path=customXml/item2.xml><?xml version="1.0" encoding="utf-8"?>
<XMLData TextToDisplay="%USERNAME%">ekajigija</XMLData>
</file>

<file path=customXml/item3.xml><?xml version="1.0" encoding="utf-8"?>
<XMLData TextToDisplay="%EMAILADDRESS%">ekajigija@bnr.rw</XMLData>
</file>

<file path=customXml/item4.xml><?xml version="1.0" encoding="utf-8"?>
<XMLData TextToDisplay="%DOCUMENTGUID%">{00000000-0000-0000-0000-000000000000}</XMLData>
</file>

<file path=customXml/item5.xml><?xml version="1.0" encoding="utf-8"?>
<XMLData TextToDisplay="%CLASSIFICATIONDATETIME%">12:00 11/03/2020</XMLData>
</file>

<file path=customXml/item6.xml><?xml version="1.0" encoding="utf-8"?>
<XMLData TextToDisplay="RightsWATCHMark">5|National Bank of Rwanda-Data Classification ISO-RES|{00000000-0000-0000-0000-000000000000}</XMLData>
</file>

<file path=customXml/itemProps1.xml><?xml version="1.0" encoding="utf-8"?>
<ds:datastoreItem xmlns:ds="http://schemas.openxmlformats.org/officeDocument/2006/customXml" ds:itemID="{A5CA9AD3-A7F9-4BEE-9872-5ABC672E3FE8}">
  <ds:schemaRefs/>
</ds:datastoreItem>
</file>

<file path=customXml/itemProps2.xml><?xml version="1.0" encoding="utf-8"?>
<ds:datastoreItem xmlns:ds="http://schemas.openxmlformats.org/officeDocument/2006/customXml" ds:itemID="{9C5D7E92-DB94-4C73-A5FC-61F3BF13C344}">
  <ds:schemaRefs/>
</ds:datastoreItem>
</file>

<file path=customXml/itemProps3.xml><?xml version="1.0" encoding="utf-8"?>
<ds:datastoreItem xmlns:ds="http://schemas.openxmlformats.org/officeDocument/2006/customXml" ds:itemID="{76342257-A7BD-49A0-8A3E-F566B8C534FD}">
  <ds:schemaRefs/>
</ds:datastoreItem>
</file>

<file path=customXml/itemProps4.xml><?xml version="1.0" encoding="utf-8"?>
<ds:datastoreItem xmlns:ds="http://schemas.openxmlformats.org/officeDocument/2006/customXml" ds:itemID="{BEA41F31-AEF8-4E48-AF2D-3F64D37FAFE0}">
  <ds:schemaRefs/>
</ds:datastoreItem>
</file>

<file path=customXml/itemProps5.xml><?xml version="1.0" encoding="utf-8"?>
<ds:datastoreItem xmlns:ds="http://schemas.openxmlformats.org/officeDocument/2006/customXml" ds:itemID="{03A35E14-9508-414F-98BF-8A0A723C2AEA}">
  <ds:schemaRefs/>
</ds:datastoreItem>
</file>

<file path=customXml/itemProps6.xml><?xml version="1.0" encoding="utf-8"?>
<ds:datastoreItem xmlns:ds="http://schemas.openxmlformats.org/officeDocument/2006/customXml" ds:itemID="{9A577507-6E09-42D7-99A4-E046AEFEAB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Richard Nteziryayo</cp:lastModifiedBy>
  <cp:revision>2</cp:revision>
  <dcterms:created xsi:type="dcterms:W3CDTF">2021-08-11T08:48:00Z</dcterms:created>
  <dcterms:modified xsi:type="dcterms:W3CDTF">2021-08-11T08:48:00Z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