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41" w:rsidRPr="00CD3057" w:rsidRDefault="006873F2" w:rsidP="002F6C41">
      <w:pPr>
        <w:spacing w:before="120" w:after="120" w:line="276" w:lineRule="auto"/>
        <w:jc w:val="both"/>
        <w:rPr>
          <w:rFonts w:ascii="Cambria" w:hAnsi="Cambria" w:cstheme="minorHAnsi"/>
          <w:b/>
          <w:color w:val="000000"/>
          <w:sz w:val="24"/>
          <w:szCs w:val="24"/>
        </w:rPr>
      </w:pPr>
      <w:r>
        <w:rPr>
          <w:rFonts w:ascii="Cambria" w:hAnsi="Cambria" w:cstheme="minorHAnsi"/>
          <w:b/>
          <w:color w:val="000000"/>
          <w:sz w:val="24"/>
          <w:szCs w:val="24"/>
        </w:rPr>
        <w:t>RTGS, CSD</w:t>
      </w:r>
      <w:r w:rsidR="002F6C41" w:rsidRPr="00CD3057">
        <w:rPr>
          <w:rFonts w:ascii="Cambria" w:hAnsi="Cambria" w:cstheme="minorHAnsi"/>
          <w:b/>
          <w:color w:val="000000"/>
          <w:sz w:val="24"/>
          <w:szCs w:val="24"/>
        </w:rPr>
        <w:t xml:space="preserve"> </w:t>
      </w:r>
      <w:r>
        <w:rPr>
          <w:rFonts w:ascii="Cambria" w:hAnsi="Cambria" w:cstheme="minorHAnsi"/>
          <w:b/>
          <w:color w:val="000000"/>
          <w:sz w:val="24"/>
          <w:szCs w:val="24"/>
        </w:rPr>
        <w:t xml:space="preserve">and SSS </w:t>
      </w:r>
      <w:r w:rsidR="002F6C41" w:rsidRPr="00CD3057">
        <w:rPr>
          <w:rFonts w:ascii="Cambria" w:hAnsi="Cambria" w:cstheme="minorHAnsi"/>
          <w:b/>
          <w:color w:val="000000"/>
          <w:sz w:val="24"/>
          <w:szCs w:val="24"/>
        </w:rPr>
        <w:t xml:space="preserve">ASSESSMENT </w:t>
      </w:r>
    </w:p>
    <w:p w:rsidR="002F6C41" w:rsidRDefault="002F6C41" w:rsidP="002F6C41">
      <w:pPr>
        <w:jc w:val="both"/>
        <w:rPr>
          <w:rFonts w:ascii="Cambria" w:hAnsi="Cambria"/>
          <w:sz w:val="24"/>
          <w:szCs w:val="24"/>
        </w:rPr>
      </w:pPr>
      <w:r w:rsidRPr="00C843D5">
        <w:rPr>
          <w:rFonts w:ascii="Cambria" w:hAnsi="Cambria"/>
          <w:sz w:val="24"/>
          <w:szCs w:val="24"/>
        </w:rPr>
        <w:t>In February 2015</w:t>
      </w:r>
      <w:r>
        <w:rPr>
          <w:rFonts w:ascii="Cambria" w:hAnsi="Cambria"/>
          <w:sz w:val="24"/>
          <w:szCs w:val="24"/>
        </w:rPr>
        <w:t>,</w:t>
      </w:r>
      <w:r w:rsidRPr="00C843D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</w:t>
      </w:r>
      <w:r w:rsidRPr="00C843D5">
        <w:rPr>
          <w:rFonts w:ascii="Cambria" w:hAnsi="Cambria"/>
          <w:sz w:val="24"/>
          <w:szCs w:val="24"/>
        </w:rPr>
        <w:t>he</w:t>
      </w:r>
      <w:r>
        <w:rPr>
          <w:rFonts w:ascii="Cambria" w:hAnsi="Cambria"/>
          <w:sz w:val="24"/>
          <w:szCs w:val="24"/>
        </w:rPr>
        <w:t>re have been a</w:t>
      </w:r>
      <w:r w:rsidRPr="00C843D5">
        <w:rPr>
          <w:rFonts w:ascii="Cambria" w:hAnsi="Cambria"/>
          <w:sz w:val="24"/>
          <w:szCs w:val="24"/>
        </w:rPr>
        <w:t xml:space="preserve"> self-assessment </w:t>
      </w:r>
      <w:r>
        <w:rPr>
          <w:rFonts w:ascii="Cambria" w:hAnsi="Cambria"/>
          <w:sz w:val="24"/>
          <w:szCs w:val="24"/>
        </w:rPr>
        <w:t>that was</w:t>
      </w:r>
      <w:r w:rsidRPr="00C843D5">
        <w:rPr>
          <w:rFonts w:ascii="Cambria" w:hAnsi="Cambria"/>
          <w:sz w:val="24"/>
          <w:szCs w:val="24"/>
        </w:rPr>
        <w:t xml:space="preserve"> carried out by BNR staff working in Payment System Department with the assistance of the payment system experts from World Bank</w:t>
      </w:r>
      <w:r>
        <w:rPr>
          <w:rFonts w:ascii="Cambria" w:hAnsi="Cambria"/>
          <w:sz w:val="24"/>
          <w:szCs w:val="24"/>
        </w:rPr>
        <w:t>.</w:t>
      </w:r>
    </w:p>
    <w:p w:rsidR="002F6C41" w:rsidRPr="00C843D5" w:rsidRDefault="002F6C41" w:rsidP="002F6C41">
      <w:pPr>
        <w:jc w:val="both"/>
        <w:rPr>
          <w:rFonts w:ascii="Cambria" w:hAnsi="Cambria"/>
          <w:sz w:val="24"/>
          <w:szCs w:val="24"/>
        </w:rPr>
      </w:pPr>
      <w:r w:rsidRPr="00C843D5">
        <w:rPr>
          <w:rFonts w:ascii="Cambria" w:hAnsi="Cambria"/>
          <w:sz w:val="24"/>
          <w:szCs w:val="24"/>
        </w:rPr>
        <w:t>The self-assessment on the observance of the Principles for Financial Market Infrastructures (PFMIs) was carried out for the FMIs owned and operated by the Central Bank of Rwanda "BNR"</w:t>
      </w:r>
      <w:r>
        <w:rPr>
          <w:rFonts w:ascii="Cambria" w:hAnsi="Cambria"/>
          <w:sz w:val="24"/>
          <w:szCs w:val="24"/>
        </w:rPr>
        <w:t>.</w:t>
      </w:r>
    </w:p>
    <w:p w:rsidR="002F6C41" w:rsidRPr="00C843D5" w:rsidRDefault="002F6C41" w:rsidP="002F6C41">
      <w:pPr>
        <w:jc w:val="both"/>
        <w:rPr>
          <w:rFonts w:ascii="Cambria" w:hAnsi="Cambria"/>
          <w:sz w:val="24"/>
          <w:szCs w:val="24"/>
        </w:rPr>
      </w:pPr>
      <w:r w:rsidRPr="00C843D5">
        <w:rPr>
          <w:rFonts w:ascii="Cambria" w:hAnsi="Cambria"/>
          <w:sz w:val="24"/>
          <w:szCs w:val="24"/>
        </w:rPr>
        <w:t>Th</w:t>
      </w:r>
      <w:r>
        <w:rPr>
          <w:rFonts w:ascii="Cambria" w:hAnsi="Cambria"/>
          <w:sz w:val="24"/>
          <w:szCs w:val="24"/>
        </w:rPr>
        <w:t xml:space="preserve">e assessment </w:t>
      </w:r>
      <w:r w:rsidRPr="00C843D5">
        <w:rPr>
          <w:rFonts w:ascii="Cambria" w:hAnsi="Cambria"/>
          <w:sz w:val="24"/>
          <w:szCs w:val="24"/>
        </w:rPr>
        <w:t>covered three components of RIPPS including Real Time Gross Settlement (RTGS), Central Securities Depository (CSD) and Secu</w:t>
      </w:r>
      <w:r>
        <w:rPr>
          <w:rFonts w:ascii="Cambria" w:hAnsi="Cambria"/>
          <w:sz w:val="24"/>
          <w:szCs w:val="24"/>
        </w:rPr>
        <w:t>rities Settlement System (SSS) with t</w:t>
      </w:r>
      <w:r w:rsidRPr="00C843D5">
        <w:rPr>
          <w:rFonts w:ascii="Cambria" w:hAnsi="Cambria"/>
          <w:sz w:val="24"/>
          <w:szCs w:val="24"/>
        </w:rPr>
        <w:t>he purpose</w:t>
      </w:r>
      <w:r>
        <w:rPr>
          <w:rFonts w:ascii="Cambria" w:hAnsi="Cambria"/>
          <w:sz w:val="24"/>
          <w:szCs w:val="24"/>
        </w:rPr>
        <w:t xml:space="preserve"> of</w:t>
      </w:r>
      <w:r w:rsidRPr="00C843D5">
        <w:rPr>
          <w:rFonts w:ascii="Cambria" w:hAnsi="Cambria"/>
          <w:sz w:val="24"/>
          <w:szCs w:val="24"/>
        </w:rPr>
        <w:t xml:space="preserve"> mitigating the systemic risk within those FMIs. </w:t>
      </w:r>
    </w:p>
    <w:p w:rsidR="002F6C41" w:rsidRPr="002A212E" w:rsidRDefault="002F6C41" w:rsidP="002F6C41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2A212E">
        <w:rPr>
          <w:rFonts w:ascii="Cambria" w:hAnsi="Cambria" w:cs="Times New Roman"/>
          <w:sz w:val="24"/>
          <w:szCs w:val="24"/>
        </w:rPr>
        <w:t>While assessing, the assessors referred to the questions related to applicable principles and the key considerations using the Principles for financial market infrastructures, the Assessment Methodology and Disclosure Framework as a guide. The principles which apply only to Trade Repository and Central Counterparties were not assessed as BNR does not own and operate such kind of financial market infrastructures. These are Principle 6: Margin, Principle 14: Segregation and portability and Principle 24: Disclosure of market data by trade repositories. Furthermore, the Principle 10: Physical deliveries were not assessed as the BNR does not operate a system performing delivery of physical instruments or commodities</w:t>
      </w:r>
    </w:p>
    <w:p w:rsidR="00A62A9A" w:rsidRPr="00A225AD" w:rsidRDefault="002F6C41" w:rsidP="00A225AD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A40597">
        <w:rPr>
          <w:rFonts w:ascii="Cambria" w:hAnsi="Cambria" w:cs="Times New Roman"/>
          <w:sz w:val="24"/>
          <w:szCs w:val="24"/>
        </w:rPr>
        <w:t>The assessors used relevant laws, regulations, directives and policies as issued by the Central Bank. They also referred to the rules and procedures governing the operations of RTGS and CSD/SSS, the BNR reports and conversations with the staff of the units which operate or use the systems within BNR.</w:t>
      </w:r>
    </w:p>
    <w:p w:rsidR="00A225AD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5023E">
        <w:rPr>
          <w:rFonts w:ascii="Times New Roman" w:hAnsi="Times New Roman" w:cs="Times New Roman"/>
          <w:b/>
        </w:rPr>
        <w:t>The following principles were assessed either for RTGS or CSD/SSS or both</w:t>
      </w:r>
      <w:r>
        <w:rPr>
          <w:rFonts w:ascii="Times New Roman" w:hAnsi="Times New Roman" w:cs="Times New Roman"/>
        </w:rPr>
        <w:t>:</w:t>
      </w:r>
    </w:p>
    <w:p w:rsidR="0065023E" w:rsidRDefault="0065023E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225AD" w:rsidRPr="00A21A7D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A21A7D">
        <w:rPr>
          <w:rFonts w:ascii="Times New Roman" w:hAnsi="Times New Roman" w:cs="Times New Roman"/>
          <w:b/>
        </w:rPr>
        <w:t>General organization</w:t>
      </w:r>
    </w:p>
    <w:p w:rsidR="00A225AD" w:rsidRPr="00E5399E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399E">
        <w:rPr>
          <w:rFonts w:ascii="Times New Roman" w:hAnsi="Times New Roman" w:cs="Times New Roman"/>
        </w:rPr>
        <w:t>Principle 1: Legal basis</w:t>
      </w:r>
    </w:p>
    <w:p w:rsidR="00A225AD" w:rsidRPr="00E5399E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399E">
        <w:rPr>
          <w:rFonts w:ascii="Times New Roman" w:hAnsi="Times New Roman" w:cs="Times New Roman"/>
        </w:rPr>
        <w:t>Principle 2: Governance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3: Framework for the comprehensive management of risks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FB4BA9">
        <w:rPr>
          <w:rFonts w:ascii="Times New Roman" w:hAnsi="Times New Roman" w:cs="Times New Roman"/>
          <w:b/>
        </w:rPr>
        <w:t>Credit and liquidity risk management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4: Credit risk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5: Collateral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6: Margin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7: Liquidity risk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FB4BA9">
        <w:rPr>
          <w:rFonts w:ascii="Times New Roman" w:hAnsi="Times New Roman" w:cs="Times New Roman"/>
          <w:b/>
        </w:rPr>
        <w:t>Settlement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8: Settlement finality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9: Money settlements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10: Physical deliveries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FB4BA9">
        <w:rPr>
          <w:rFonts w:ascii="Times New Roman" w:hAnsi="Times New Roman" w:cs="Times New Roman"/>
          <w:b/>
        </w:rPr>
        <w:t>Central securities depositories and exchange-of-value settlement systems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11: Central securities depositories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12: Exchange-of-value settlement systems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FB4BA9">
        <w:rPr>
          <w:rFonts w:ascii="Times New Roman" w:hAnsi="Times New Roman" w:cs="Times New Roman"/>
          <w:b/>
        </w:rPr>
        <w:t>Default management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13: Participant-default rules and procedures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14: Segregation and portability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FB4BA9">
        <w:rPr>
          <w:rFonts w:ascii="Times New Roman" w:hAnsi="Times New Roman" w:cs="Times New Roman"/>
          <w:b/>
        </w:rPr>
        <w:t>General business and operational risk management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15: General business risk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16: Custody and investment risks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17: Operational risk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FB4BA9">
        <w:rPr>
          <w:rFonts w:ascii="Times New Roman" w:hAnsi="Times New Roman" w:cs="Times New Roman"/>
          <w:b/>
        </w:rPr>
        <w:t>Access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18: Access and participation requirements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19: Tiered participation arrangements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20: FMI links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FB4BA9">
        <w:rPr>
          <w:rFonts w:ascii="Times New Roman" w:hAnsi="Times New Roman" w:cs="Times New Roman"/>
          <w:b/>
        </w:rPr>
        <w:t>Efficiency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21: Efficiency and effectiveness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22: Communication procedures and standards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FB4BA9">
        <w:rPr>
          <w:rFonts w:ascii="Times New Roman" w:hAnsi="Times New Roman" w:cs="Times New Roman"/>
          <w:b/>
        </w:rPr>
        <w:t>Transparency</w:t>
      </w:r>
    </w:p>
    <w:p w:rsidR="00A225AD" w:rsidRPr="00FB4BA9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23: Disclosure of rules, key procedures, and market data</w:t>
      </w:r>
    </w:p>
    <w:p w:rsidR="00A225AD" w:rsidRPr="00E5399E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B4BA9">
        <w:rPr>
          <w:rFonts w:ascii="Times New Roman" w:hAnsi="Times New Roman" w:cs="Times New Roman"/>
        </w:rPr>
        <w:t>Principle 24: Disclosure of market data by trade repositories</w:t>
      </w:r>
    </w:p>
    <w:p w:rsidR="00A225AD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225AD" w:rsidRPr="00A225AD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A225AD">
        <w:rPr>
          <w:rFonts w:ascii="Times New Roman" w:hAnsi="Times New Roman" w:cs="Times New Roman"/>
          <w:b/>
        </w:rPr>
        <w:t>The following are the key findings from the assessment:</w:t>
      </w:r>
    </w:p>
    <w:p w:rsidR="00A225AD" w:rsidRDefault="00A225AD" w:rsidP="00A225AD">
      <w:pPr>
        <w:pStyle w:val="Default"/>
        <w:jc w:val="both"/>
        <w:rPr>
          <w:rFonts w:ascii="Times New Roman" w:hAnsi="Times New Roman" w:cs="Times New Roman"/>
        </w:rPr>
      </w:pPr>
    </w:p>
    <w:p w:rsidR="00A225AD" w:rsidRPr="00896CE1" w:rsidRDefault="00A225AD" w:rsidP="00A225AD">
      <w:pPr>
        <w:pStyle w:val="Default"/>
        <w:jc w:val="both"/>
        <w:rPr>
          <w:rFonts w:ascii="Times New Roman" w:hAnsi="Times New Roman" w:cs="Times New Roman"/>
        </w:rPr>
      </w:pPr>
      <w:r w:rsidRPr="001C5D10">
        <w:rPr>
          <w:rFonts w:ascii="Times New Roman" w:hAnsi="Times New Roman" w:cs="Times New Roman"/>
          <w:b/>
        </w:rPr>
        <w:t>RTGS Observance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CE1">
        <w:rPr>
          <w:rFonts w:ascii="Times New Roman" w:hAnsi="Times New Roman" w:cs="Times New Roman"/>
        </w:rPr>
        <w:t xml:space="preserve">Observed </w:t>
      </w:r>
      <w:r w:rsidRPr="00896CE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Principles 1,2,4,8,9,12,13,15,</w:t>
      </w:r>
      <w:r w:rsidRPr="00896CE1">
        <w:rPr>
          <w:rFonts w:ascii="Times New Roman" w:hAnsi="Times New Roman" w:cs="Times New Roman"/>
        </w:rPr>
        <w:t xml:space="preserve">21,22 </w:t>
      </w:r>
    </w:p>
    <w:p w:rsidR="00A225AD" w:rsidRPr="00896CE1" w:rsidRDefault="00A225AD" w:rsidP="00A225AD">
      <w:pPr>
        <w:pStyle w:val="Default"/>
        <w:ind w:left="2160" w:firstLine="720"/>
        <w:jc w:val="both"/>
        <w:rPr>
          <w:rFonts w:ascii="Times New Roman" w:hAnsi="Times New Roman" w:cs="Times New Roman"/>
        </w:rPr>
      </w:pPr>
      <w:r w:rsidRPr="00896CE1">
        <w:rPr>
          <w:rFonts w:ascii="Times New Roman" w:hAnsi="Times New Roman" w:cs="Times New Roman"/>
        </w:rPr>
        <w:t xml:space="preserve">Broadly observed </w:t>
      </w:r>
      <w:r w:rsidRPr="00896CE1">
        <w:rPr>
          <w:rFonts w:ascii="Times New Roman" w:hAnsi="Times New Roman" w:cs="Times New Roman"/>
        </w:rPr>
        <w:tab/>
        <w:t>Principles 3, 7, 17, 18</w:t>
      </w:r>
    </w:p>
    <w:p w:rsidR="00A225AD" w:rsidRPr="00896CE1" w:rsidRDefault="00A225AD" w:rsidP="00A225AD">
      <w:pPr>
        <w:pStyle w:val="Default"/>
        <w:ind w:left="2160" w:firstLine="720"/>
        <w:jc w:val="both"/>
        <w:rPr>
          <w:rFonts w:ascii="Times New Roman" w:hAnsi="Times New Roman" w:cs="Times New Roman"/>
        </w:rPr>
      </w:pPr>
      <w:r w:rsidRPr="00896CE1">
        <w:rPr>
          <w:rFonts w:ascii="Times New Roman" w:hAnsi="Times New Roman" w:cs="Times New Roman"/>
        </w:rPr>
        <w:t xml:space="preserve">Partly observed </w:t>
      </w:r>
      <w:r w:rsidRPr="00896CE1">
        <w:rPr>
          <w:rFonts w:ascii="Times New Roman" w:hAnsi="Times New Roman" w:cs="Times New Roman"/>
        </w:rPr>
        <w:tab/>
        <w:t>Principle 23</w:t>
      </w:r>
    </w:p>
    <w:p w:rsidR="00A225AD" w:rsidRPr="00896CE1" w:rsidRDefault="00A225AD" w:rsidP="00A225AD">
      <w:pPr>
        <w:pStyle w:val="Default"/>
        <w:ind w:left="2160" w:firstLine="720"/>
        <w:jc w:val="both"/>
        <w:rPr>
          <w:rFonts w:ascii="Times New Roman" w:hAnsi="Times New Roman" w:cs="Times New Roman"/>
        </w:rPr>
      </w:pPr>
      <w:r w:rsidRPr="00896CE1">
        <w:rPr>
          <w:rFonts w:ascii="Times New Roman" w:hAnsi="Times New Roman" w:cs="Times New Roman"/>
        </w:rPr>
        <w:t xml:space="preserve">Not observed </w:t>
      </w:r>
      <w:r w:rsidRPr="00896CE1">
        <w:rPr>
          <w:rFonts w:ascii="Times New Roman" w:hAnsi="Times New Roman" w:cs="Times New Roman"/>
        </w:rPr>
        <w:tab/>
      </w:r>
    </w:p>
    <w:p w:rsidR="00A225AD" w:rsidRDefault="00A225AD" w:rsidP="00A225AD">
      <w:pPr>
        <w:pStyle w:val="Default"/>
        <w:spacing w:line="276" w:lineRule="auto"/>
        <w:ind w:left="2160" w:firstLine="720"/>
        <w:jc w:val="both"/>
        <w:rPr>
          <w:rFonts w:ascii="Times New Roman" w:hAnsi="Times New Roman" w:cs="Times New Roman"/>
        </w:rPr>
      </w:pPr>
      <w:r w:rsidRPr="00896CE1">
        <w:rPr>
          <w:rFonts w:ascii="Times New Roman" w:hAnsi="Times New Roman" w:cs="Times New Roman"/>
        </w:rPr>
        <w:t xml:space="preserve">Not applicable </w:t>
      </w:r>
      <w:r w:rsidRPr="00896CE1">
        <w:rPr>
          <w:rFonts w:ascii="Times New Roman" w:hAnsi="Times New Roman" w:cs="Times New Roman"/>
        </w:rPr>
        <w:tab/>
        <w:t>Principles 5,6,10,11,14,16,19,20,24</w:t>
      </w:r>
    </w:p>
    <w:p w:rsidR="00A225AD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225AD" w:rsidRPr="0044652D" w:rsidRDefault="00A225AD" w:rsidP="00A225AD">
      <w:pPr>
        <w:pStyle w:val="Default"/>
        <w:jc w:val="both"/>
        <w:rPr>
          <w:rFonts w:ascii="Times New Roman" w:hAnsi="Times New Roman" w:cs="Times New Roman"/>
        </w:rPr>
      </w:pPr>
      <w:r w:rsidRPr="001C5D10">
        <w:rPr>
          <w:rFonts w:ascii="Times New Roman" w:hAnsi="Times New Roman" w:cs="Times New Roman"/>
          <w:b/>
        </w:rPr>
        <w:t>CSD/SSS Observance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44652D">
        <w:rPr>
          <w:rFonts w:ascii="Times New Roman" w:hAnsi="Times New Roman" w:cs="Times New Roman"/>
        </w:rPr>
        <w:t xml:space="preserve">Observed </w:t>
      </w:r>
      <w:r w:rsidRPr="0044652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4652D">
        <w:rPr>
          <w:rFonts w:ascii="Times New Roman" w:hAnsi="Times New Roman" w:cs="Times New Roman"/>
        </w:rPr>
        <w:t xml:space="preserve">Principles 1,2,4,8,9,11,12,13,15,16,21,22 </w:t>
      </w:r>
    </w:p>
    <w:p w:rsidR="00A225AD" w:rsidRPr="0044652D" w:rsidRDefault="00A225AD" w:rsidP="00A225AD">
      <w:pPr>
        <w:pStyle w:val="Default"/>
        <w:ind w:left="2160" w:firstLine="720"/>
        <w:jc w:val="both"/>
        <w:rPr>
          <w:rFonts w:ascii="Times New Roman" w:hAnsi="Times New Roman" w:cs="Times New Roman"/>
        </w:rPr>
      </w:pPr>
      <w:r w:rsidRPr="0044652D">
        <w:rPr>
          <w:rFonts w:ascii="Times New Roman" w:hAnsi="Times New Roman" w:cs="Times New Roman"/>
        </w:rPr>
        <w:t xml:space="preserve">Broadly observed </w:t>
      </w:r>
      <w:r w:rsidRPr="0044652D">
        <w:rPr>
          <w:rFonts w:ascii="Times New Roman" w:hAnsi="Times New Roman" w:cs="Times New Roman"/>
        </w:rPr>
        <w:tab/>
        <w:t>Principles 3, 7,</w:t>
      </w:r>
      <w:r>
        <w:rPr>
          <w:rFonts w:ascii="Times New Roman" w:hAnsi="Times New Roman" w:cs="Times New Roman"/>
        </w:rPr>
        <w:t xml:space="preserve"> 17, </w:t>
      </w:r>
      <w:r w:rsidRPr="0044652D">
        <w:rPr>
          <w:rFonts w:ascii="Times New Roman" w:hAnsi="Times New Roman" w:cs="Times New Roman"/>
        </w:rPr>
        <w:t>18</w:t>
      </w:r>
    </w:p>
    <w:p w:rsidR="00A225AD" w:rsidRPr="0044652D" w:rsidRDefault="00A225AD" w:rsidP="00A225AD">
      <w:pPr>
        <w:pStyle w:val="Default"/>
        <w:ind w:left="2160" w:firstLine="720"/>
        <w:jc w:val="both"/>
        <w:rPr>
          <w:rFonts w:ascii="Times New Roman" w:hAnsi="Times New Roman" w:cs="Times New Roman"/>
        </w:rPr>
      </w:pPr>
      <w:r w:rsidRPr="0044652D">
        <w:rPr>
          <w:rFonts w:ascii="Times New Roman" w:hAnsi="Times New Roman" w:cs="Times New Roman"/>
        </w:rPr>
        <w:t xml:space="preserve">Partly observed </w:t>
      </w:r>
      <w:r w:rsidRPr="0044652D">
        <w:rPr>
          <w:rFonts w:ascii="Times New Roman" w:hAnsi="Times New Roman" w:cs="Times New Roman"/>
        </w:rPr>
        <w:tab/>
        <w:t>Principle 23</w:t>
      </w:r>
    </w:p>
    <w:p w:rsidR="00A225AD" w:rsidRPr="0044652D" w:rsidRDefault="00A225AD" w:rsidP="00A225AD">
      <w:pPr>
        <w:pStyle w:val="Default"/>
        <w:ind w:left="2160" w:firstLine="720"/>
        <w:jc w:val="both"/>
        <w:rPr>
          <w:rFonts w:ascii="Times New Roman" w:hAnsi="Times New Roman" w:cs="Times New Roman"/>
        </w:rPr>
      </w:pPr>
      <w:r w:rsidRPr="0044652D">
        <w:rPr>
          <w:rFonts w:ascii="Times New Roman" w:hAnsi="Times New Roman" w:cs="Times New Roman"/>
        </w:rPr>
        <w:t xml:space="preserve">Not observed </w:t>
      </w:r>
      <w:r w:rsidRPr="0044652D">
        <w:rPr>
          <w:rFonts w:ascii="Times New Roman" w:hAnsi="Times New Roman" w:cs="Times New Roman"/>
        </w:rPr>
        <w:tab/>
      </w:r>
    </w:p>
    <w:p w:rsidR="00A225AD" w:rsidRDefault="00A225AD" w:rsidP="00A225AD">
      <w:pPr>
        <w:pStyle w:val="Default"/>
        <w:spacing w:line="276" w:lineRule="auto"/>
        <w:ind w:left="2160" w:firstLine="720"/>
        <w:jc w:val="both"/>
        <w:rPr>
          <w:rFonts w:ascii="Times New Roman" w:hAnsi="Times New Roman" w:cs="Times New Roman"/>
        </w:rPr>
      </w:pPr>
      <w:r w:rsidRPr="0044652D">
        <w:rPr>
          <w:rFonts w:ascii="Times New Roman" w:hAnsi="Times New Roman" w:cs="Times New Roman"/>
        </w:rPr>
        <w:t xml:space="preserve">Not applicable </w:t>
      </w:r>
      <w:r w:rsidRPr="0044652D">
        <w:rPr>
          <w:rFonts w:ascii="Times New Roman" w:hAnsi="Times New Roman" w:cs="Times New Roman"/>
        </w:rPr>
        <w:tab/>
        <w:t>Principles 5, 6, 10, 14,19,20,24</w:t>
      </w:r>
    </w:p>
    <w:p w:rsidR="00A225AD" w:rsidRDefault="00A225AD" w:rsidP="00A225AD">
      <w:pPr>
        <w:pStyle w:val="Default"/>
        <w:spacing w:line="276" w:lineRule="auto"/>
        <w:ind w:left="2160" w:firstLine="720"/>
        <w:jc w:val="both"/>
        <w:rPr>
          <w:rFonts w:ascii="Times New Roman" w:hAnsi="Times New Roman" w:cs="Times New Roman"/>
        </w:rPr>
      </w:pPr>
    </w:p>
    <w:p w:rsidR="00A225AD" w:rsidRDefault="00A225AD" w:rsidP="00A22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5D10">
        <w:rPr>
          <w:rFonts w:ascii="Times New Roman" w:hAnsi="Times New Roman" w:cs="Times New Roman"/>
          <w:b/>
        </w:rPr>
        <w:t>Responsibilities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Observed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Responsibilities A, B, C, D, E</w:t>
      </w:r>
    </w:p>
    <w:p w:rsidR="00A225AD" w:rsidRDefault="00A225AD"/>
    <w:sectPr w:rsidR="00A2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41"/>
    <w:rsid w:val="001C5D10"/>
    <w:rsid w:val="002A4093"/>
    <w:rsid w:val="002E320B"/>
    <w:rsid w:val="002F6C41"/>
    <w:rsid w:val="004A072D"/>
    <w:rsid w:val="00536100"/>
    <w:rsid w:val="0065023E"/>
    <w:rsid w:val="006873F2"/>
    <w:rsid w:val="00A225AD"/>
    <w:rsid w:val="00A569FE"/>
    <w:rsid w:val="00D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B87AE-4732-4D2D-A1A8-D349E71E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7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Mutatsimpundu Christine</dc:creator>
  <cp:keywords/>
  <dc:description/>
  <cp:lastModifiedBy>McP</cp:lastModifiedBy>
  <cp:revision>1</cp:revision>
  <dcterms:created xsi:type="dcterms:W3CDTF">2016-05-17T09:30:00Z</dcterms:created>
  <dcterms:modified xsi:type="dcterms:W3CDTF">2016-05-17T09:30:00Z</dcterms:modified>
</cp:coreProperties>
</file>